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1F762">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eastAsia="zh-CN" w:bidi="ar"/>
        </w:rPr>
      </w:pPr>
    </w:p>
    <w:p w14:paraId="3290668A">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eastAsia="zh-CN" w:bidi="ar"/>
        </w:rPr>
      </w:pPr>
    </w:p>
    <w:p w14:paraId="06740900">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eastAsia="zh-CN" w:bidi="ar"/>
        </w:rPr>
      </w:pPr>
    </w:p>
    <w:p w14:paraId="05A71CBC">
      <w:pPr>
        <w:pStyle w:val="2"/>
        <w:rPr>
          <w:rFonts w:hint="eastAsia" w:ascii="方正小标宋_GBK" w:hAnsi="方正小标宋_GBK" w:eastAsia="方正小标宋_GBK" w:cs="方正小标宋_GBK"/>
          <w:color w:val="000000"/>
          <w:kern w:val="0"/>
          <w:sz w:val="43"/>
          <w:szCs w:val="43"/>
          <w:lang w:eastAsia="zh-CN" w:bidi="ar"/>
        </w:rPr>
      </w:pPr>
    </w:p>
    <w:p w14:paraId="3781E9CF">
      <w:pPr>
        <w:rPr>
          <w:rFonts w:hint="eastAsia" w:ascii="方正小标宋_GBK" w:hAnsi="方正小标宋_GBK" w:eastAsia="方正小标宋_GBK" w:cs="方正小标宋_GBK"/>
          <w:color w:val="000000"/>
          <w:kern w:val="0"/>
          <w:sz w:val="43"/>
          <w:szCs w:val="43"/>
          <w:lang w:eastAsia="zh-CN" w:bidi="ar"/>
        </w:rPr>
      </w:pPr>
    </w:p>
    <w:p w14:paraId="1B950B6F">
      <w:pPr>
        <w:pStyle w:val="2"/>
        <w:rPr>
          <w:rFonts w:hint="eastAsia"/>
          <w:lang w:eastAsia="zh-CN"/>
        </w:rPr>
      </w:pPr>
    </w:p>
    <w:p w14:paraId="0DC3E02B">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52"/>
          <w:szCs w:val="52"/>
          <w:lang w:bidi="ar"/>
        </w:rPr>
      </w:pPr>
      <w:r>
        <w:rPr>
          <w:rFonts w:hint="eastAsia" w:ascii="方正小标宋_GBK" w:hAnsi="方正小标宋_GBK" w:eastAsia="方正小标宋_GBK" w:cs="方正小标宋_GBK"/>
          <w:color w:val="000000"/>
          <w:kern w:val="0"/>
          <w:sz w:val="52"/>
          <w:szCs w:val="52"/>
          <w:lang w:eastAsia="zh-CN" w:bidi="ar"/>
        </w:rPr>
        <w:t>《粮油作物一次性施肥技术规程</w:t>
      </w:r>
      <w:r>
        <w:rPr>
          <w:rFonts w:hint="eastAsia" w:ascii="方正小标宋_GBK" w:hAnsi="方正小标宋_GBK" w:eastAsia="方正小标宋_GBK" w:cs="方正小标宋_GBK"/>
          <w:color w:val="000000"/>
          <w:kern w:val="0"/>
          <w:sz w:val="52"/>
          <w:szCs w:val="52"/>
          <w:lang w:val="en-US" w:eastAsia="zh-CN" w:bidi="ar"/>
        </w:rPr>
        <w:t xml:space="preserve"> </w:t>
      </w:r>
      <w:bookmarkStart w:id="0" w:name="_GoBack"/>
      <w:bookmarkEnd w:id="0"/>
      <w:r>
        <w:rPr>
          <w:rFonts w:hint="eastAsia" w:ascii="方正小标宋_GBK" w:hAnsi="方正小标宋_GBK" w:eastAsia="方正小标宋_GBK" w:cs="方正小标宋_GBK"/>
          <w:color w:val="000000"/>
          <w:kern w:val="0"/>
          <w:sz w:val="52"/>
          <w:szCs w:val="52"/>
          <w:lang w:val="en-US" w:eastAsia="zh-CN" w:bidi="ar"/>
        </w:rPr>
        <w:t>第2部分：</w:t>
      </w:r>
      <w:r>
        <w:rPr>
          <w:rFonts w:hint="eastAsia" w:ascii="方正小标宋_GBK" w:hAnsi="方正小标宋_GBK" w:eastAsia="方正小标宋_GBK" w:cs="方正小标宋_GBK"/>
          <w:color w:val="000000"/>
          <w:kern w:val="0"/>
          <w:sz w:val="52"/>
          <w:szCs w:val="52"/>
          <w:lang w:eastAsia="zh-CN" w:bidi="ar"/>
        </w:rPr>
        <w:t>水稻》地方标准编制</w:t>
      </w:r>
      <w:r>
        <w:rPr>
          <w:rFonts w:hint="eastAsia" w:ascii="方正小标宋_GBK" w:hAnsi="方正小标宋_GBK" w:eastAsia="方正小标宋_GBK" w:cs="方正小标宋_GBK"/>
          <w:color w:val="000000"/>
          <w:kern w:val="0"/>
          <w:sz w:val="52"/>
          <w:szCs w:val="52"/>
          <w:lang w:bidi="ar"/>
        </w:rPr>
        <w:t>说明</w:t>
      </w:r>
    </w:p>
    <w:p w14:paraId="2C44D6CF">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p>
    <w:p w14:paraId="04DC80DE">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p>
    <w:p w14:paraId="69D107D4">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p>
    <w:p w14:paraId="7BC781A1">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p>
    <w:p w14:paraId="758F087F">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p>
    <w:p w14:paraId="41A11FED">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p>
    <w:p w14:paraId="534B6F47">
      <w:pPr>
        <w:keepNext w:val="0"/>
        <w:keepLines w:val="0"/>
        <w:pageBreakBefore w:val="0"/>
        <w:widowControl/>
        <w:kinsoku/>
        <w:wordWrap/>
        <w:overflowPunct/>
        <w:topLinePunct w:val="0"/>
        <w:autoSpaceDE/>
        <w:autoSpaceDN/>
        <w:bidi w:val="0"/>
        <w:spacing w:line="600" w:lineRule="exact"/>
        <w:jc w:val="both"/>
        <w:rPr>
          <w:rFonts w:hint="eastAsia" w:ascii="方正小标宋_GBK" w:hAnsi="方正小标宋_GBK" w:eastAsia="方正小标宋_GBK" w:cs="方正小标宋_GBK"/>
          <w:color w:val="000000"/>
          <w:kern w:val="0"/>
          <w:sz w:val="43"/>
          <w:szCs w:val="43"/>
          <w:lang w:bidi="ar"/>
        </w:rPr>
      </w:pPr>
    </w:p>
    <w:p w14:paraId="318D7BF7">
      <w:pPr>
        <w:keepNext w:val="0"/>
        <w:keepLines w:val="0"/>
        <w:pageBreakBefore w:val="0"/>
        <w:widowControl/>
        <w:kinsoku/>
        <w:wordWrap/>
        <w:overflowPunct/>
        <w:topLinePunct w:val="0"/>
        <w:autoSpaceDE/>
        <w:autoSpaceDN/>
        <w:bidi w:val="0"/>
        <w:spacing w:line="600" w:lineRule="exact"/>
        <w:jc w:val="center"/>
        <w:rPr>
          <w:rFonts w:hint="eastAsia" w:ascii="方正小标宋_GBK" w:hAnsi="方正小标宋_GBK" w:eastAsia="方正小标宋_GBK" w:cs="方正小标宋_GBK"/>
          <w:color w:val="000000"/>
          <w:kern w:val="0"/>
          <w:sz w:val="43"/>
          <w:szCs w:val="43"/>
          <w:lang w:bidi="ar"/>
        </w:rPr>
      </w:pPr>
      <w:r>
        <w:rPr>
          <w:rFonts w:hint="eastAsia" w:ascii="方正小标宋_GBK" w:hAnsi="方正小标宋_GBK" w:eastAsia="方正小标宋_GBK" w:cs="方正小标宋_GBK"/>
          <w:color w:val="000000"/>
          <w:kern w:val="0"/>
          <w:sz w:val="43"/>
          <w:szCs w:val="43"/>
          <w:lang w:bidi="ar"/>
        </w:rPr>
        <w:t>202</w:t>
      </w:r>
      <w:r>
        <w:rPr>
          <w:rFonts w:hint="eastAsia" w:ascii="方正小标宋_GBK" w:hAnsi="方正小标宋_GBK" w:eastAsia="方正小标宋_GBK" w:cs="方正小标宋_GBK"/>
          <w:color w:val="000000"/>
          <w:kern w:val="0"/>
          <w:sz w:val="43"/>
          <w:szCs w:val="43"/>
          <w:lang w:val="en-US" w:eastAsia="zh-CN" w:bidi="ar"/>
        </w:rPr>
        <w:t>6</w:t>
      </w:r>
      <w:r>
        <w:rPr>
          <w:rFonts w:hint="eastAsia" w:ascii="方正小标宋_GBK" w:hAnsi="方正小标宋_GBK" w:eastAsia="方正小标宋_GBK" w:cs="方正小标宋_GBK"/>
          <w:color w:val="000000"/>
          <w:kern w:val="0"/>
          <w:sz w:val="43"/>
          <w:szCs w:val="43"/>
          <w:lang w:bidi="ar"/>
        </w:rPr>
        <w:t>年</w:t>
      </w:r>
      <w:r>
        <w:rPr>
          <w:rFonts w:hint="eastAsia" w:ascii="方正小标宋_GBK" w:hAnsi="方正小标宋_GBK" w:eastAsia="方正小标宋_GBK" w:cs="方正小标宋_GBK"/>
          <w:color w:val="000000"/>
          <w:kern w:val="0"/>
          <w:sz w:val="43"/>
          <w:szCs w:val="43"/>
          <w:lang w:val="en-US" w:eastAsia="zh-CN" w:bidi="ar"/>
        </w:rPr>
        <w:t>1</w:t>
      </w:r>
      <w:r>
        <w:rPr>
          <w:rFonts w:hint="eastAsia" w:ascii="方正小标宋_GBK" w:hAnsi="方正小标宋_GBK" w:eastAsia="方正小标宋_GBK" w:cs="方正小标宋_GBK"/>
          <w:color w:val="000000"/>
          <w:kern w:val="0"/>
          <w:sz w:val="43"/>
          <w:szCs w:val="43"/>
          <w:lang w:bidi="ar"/>
        </w:rPr>
        <w:t>月</w:t>
      </w:r>
    </w:p>
    <w:p w14:paraId="103D20CC">
      <w:pPr>
        <w:pStyle w:val="2"/>
        <w:rPr>
          <w:rFonts w:hint="eastAsia" w:ascii="方正小标宋_GBK" w:hAnsi="方正小标宋_GBK" w:eastAsia="方正小标宋_GBK" w:cs="方正小标宋_GBK"/>
          <w:color w:val="000000"/>
          <w:kern w:val="0"/>
          <w:sz w:val="43"/>
          <w:szCs w:val="43"/>
          <w:lang w:bidi="ar"/>
        </w:rPr>
      </w:pPr>
    </w:p>
    <w:p w14:paraId="49BDD874">
      <w:pPr>
        <w:rPr>
          <w:rFonts w:hint="eastAsia" w:ascii="方正小标宋_GBK" w:hAnsi="方正小标宋_GBK" w:eastAsia="方正小标宋_GBK" w:cs="方正小标宋_GBK"/>
          <w:color w:val="000000"/>
          <w:kern w:val="0"/>
          <w:sz w:val="43"/>
          <w:szCs w:val="43"/>
          <w:lang w:bidi="ar"/>
        </w:rPr>
      </w:pPr>
    </w:p>
    <w:p w14:paraId="203E9D97">
      <w:pPr>
        <w:pStyle w:val="2"/>
        <w:rPr>
          <w:rFonts w:hint="eastAsia" w:ascii="方正小标宋_GBK" w:hAnsi="方正小标宋_GBK" w:eastAsia="方正小标宋_GBK" w:cs="方正小标宋_GBK"/>
          <w:color w:val="000000"/>
          <w:kern w:val="0"/>
          <w:sz w:val="43"/>
          <w:szCs w:val="43"/>
          <w:lang w:bidi="ar"/>
        </w:rPr>
      </w:pPr>
    </w:p>
    <w:p w14:paraId="1C0FA245">
      <w:pPr>
        <w:rPr>
          <w:rFonts w:hint="eastAsia" w:ascii="方正小标宋_GBK" w:hAnsi="方正小标宋_GBK" w:eastAsia="方正小标宋_GBK" w:cs="方正小标宋_GBK"/>
          <w:color w:val="000000"/>
          <w:kern w:val="0"/>
          <w:sz w:val="43"/>
          <w:szCs w:val="43"/>
          <w:lang w:bidi="ar"/>
        </w:rPr>
      </w:pPr>
    </w:p>
    <w:p w14:paraId="405D3394">
      <w:pPr>
        <w:pStyle w:val="2"/>
        <w:rPr>
          <w:rFonts w:hint="eastAsia"/>
        </w:rPr>
      </w:pPr>
    </w:p>
    <w:p w14:paraId="2BF38D6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宋体" w:hAnsi="宋体" w:eastAsia="宋体" w:cs="宋体"/>
          <w:b/>
          <w:bCs/>
          <w:color w:val="000000"/>
          <w:kern w:val="0"/>
          <w:sz w:val="43"/>
          <w:szCs w:val="43"/>
          <w:lang w:bidi="ar"/>
        </w:rPr>
      </w:pPr>
    </w:p>
    <w:p w14:paraId="68CAE19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000000"/>
          <w:kern w:val="0"/>
          <w:sz w:val="44"/>
          <w:szCs w:val="44"/>
          <w:lang w:bidi="ar"/>
        </w:rPr>
        <w:t>目</w:t>
      </w:r>
      <w:r>
        <w:rPr>
          <w:rFonts w:hint="eastAsia" w:ascii="方正小标宋_GBK" w:hAnsi="方正小标宋_GBK" w:eastAsia="方正小标宋_GBK" w:cs="方正小标宋_GBK"/>
          <w:b w:val="0"/>
          <w:bCs w:val="0"/>
          <w:color w:val="000000"/>
          <w:kern w:val="0"/>
          <w:sz w:val="44"/>
          <w:szCs w:val="44"/>
          <w:lang w:val="en-US" w:eastAsia="zh-CN" w:bidi="ar"/>
        </w:rPr>
        <w:t xml:space="preserve"> </w:t>
      </w:r>
      <w:r>
        <w:rPr>
          <w:rFonts w:hint="eastAsia" w:ascii="方正小标宋_GBK" w:hAnsi="方正小标宋_GBK" w:eastAsia="方正小标宋_GBK" w:cs="方正小标宋_GBK"/>
          <w:b w:val="0"/>
          <w:bCs w:val="0"/>
          <w:color w:val="000000"/>
          <w:kern w:val="0"/>
          <w:sz w:val="44"/>
          <w:szCs w:val="44"/>
          <w:lang w:bidi="ar"/>
        </w:rPr>
        <w:t xml:space="preserve"> 次</w:t>
      </w:r>
    </w:p>
    <w:p w14:paraId="789E2D7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000000"/>
          <w:kern w:val="0"/>
          <w:sz w:val="31"/>
          <w:szCs w:val="31"/>
          <w:lang w:bidi="ar"/>
        </w:rPr>
      </w:pPr>
    </w:p>
    <w:p w14:paraId="541AC6C4">
      <w:pPr>
        <w:keepNext w:val="0"/>
        <w:keepLines w:val="0"/>
        <w:pageBreakBefore w:val="0"/>
        <w:widowControl/>
        <w:numPr>
          <w:ilvl w:val="0"/>
          <w:numId w:val="1"/>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eastAsia="zh-CN" w:bidi="ar"/>
        </w:rPr>
      </w:pPr>
      <w:r>
        <w:rPr>
          <w:rFonts w:hint="eastAsia" w:ascii="仿宋_GB2312" w:hAnsi="仿宋_GB2312" w:eastAsia="仿宋_GB2312" w:cs="仿宋_GB2312"/>
          <w:color w:val="000000"/>
          <w:kern w:val="0"/>
          <w:sz w:val="32"/>
          <w:szCs w:val="32"/>
          <w:lang w:eastAsia="zh-CN" w:bidi="ar"/>
        </w:rPr>
        <w:t>工作概况</w:t>
      </w:r>
    </w:p>
    <w:p w14:paraId="361628A6">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二、</w:t>
      </w:r>
      <w:r>
        <w:rPr>
          <w:rFonts w:hint="eastAsia" w:ascii="仿宋_GB2312" w:hAnsi="仿宋_GB2312" w:eastAsia="仿宋_GB2312" w:cs="仿宋_GB2312"/>
          <w:color w:val="000000"/>
          <w:kern w:val="0"/>
          <w:sz w:val="32"/>
          <w:szCs w:val="32"/>
          <w:lang w:eastAsia="zh-CN" w:bidi="ar"/>
        </w:rPr>
        <w:t>制订</w:t>
      </w:r>
      <w:r>
        <w:rPr>
          <w:rFonts w:hint="eastAsia" w:ascii="仿宋_GB2312" w:hAnsi="仿宋_GB2312" w:eastAsia="仿宋_GB2312" w:cs="仿宋_GB2312"/>
          <w:color w:val="000000"/>
          <w:kern w:val="0"/>
          <w:sz w:val="32"/>
          <w:szCs w:val="32"/>
          <w:lang w:bidi="ar"/>
        </w:rPr>
        <w:t>标准的必要性和意义</w:t>
      </w:r>
    </w:p>
    <w:p w14:paraId="392F933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三、主要起草过程</w:t>
      </w:r>
    </w:p>
    <w:p w14:paraId="5DA7581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四、</w:t>
      </w:r>
      <w:r>
        <w:rPr>
          <w:rFonts w:hint="eastAsia" w:ascii="仿宋_GB2312" w:hAnsi="仿宋_GB2312" w:eastAsia="仿宋_GB2312" w:cs="仿宋_GB2312"/>
          <w:color w:val="000000"/>
          <w:kern w:val="0"/>
          <w:sz w:val="32"/>
          <w:szCs w:val="32"/>
          <w:lang w:eastAsia="zh-CN" w:bidi="ar"/>
        </w:rPr>
        <w:t>制订</w:t>
      </w:r>
      <w:r>
        <w:rPr>
          <w:rFonts w:hint="eastAsia" w:ascii="仿宋_GB2312" w:hAnsi="仿宋_GB2312" w:eastAsia="仿宋_GB2312" w:cs="仿宋_GB2312"/>
          <w:color w:val="000000"/>
          <w:kern w:val="0"/>
          <w:sz w:val="32"/>
          <w:szCs w:val="32"/>
          <w:lang w:bidi="ar"/>
        </w:rPr>
        <w:t>标准的原则和依据，与现行法律、法规、标准的关系</w:t>
      </w:r>
    </w:p>
    <w:p w14:paraId="147CD723">
      <w:pPr>
        <w:keepNext w:val="0"/>
        <w:keepLines w:val="0"/>
        <w:pageBreakBefore w:val="0"/>
        <w:widowControl/>
        <w:kinsoku/>
        <w:wordWrap/>
        <w:overflowPunct/>
        <w:topLinePunct w:val="0"/>
        <w:autoSpaceDE/>
        <w:autoSpaceDN/>
        <w:bidi w:val="0"/>
        <w:spacing w:line="600" w:lineRule="exact"/>
        <w:jc w:val="left"/>
        <w:rPr>
          <w:rFonts w:hint="eastAsia" w:ascii="仿宋_GB2312" w:hAnsi="仿宋_GB2312" w:eastAsia="仿宋_GB2312" w:cs="仿宋_GB2312"/>
          <w:color w:val="000000"/>
          <w:kern w:val="0"/>
          <w:sz w:val="32"/>
          <w:szCs w:val="32"/>
          <w:lang w:eastAsia="zh-CN" w:bidi="ar"/>
        </w:rPr>
      </w:pPr>
      <w:r>
        <w:rPr>
          <w:rFonts w:hint="eastAsia" w:ascii="仿宋_GB2312" w:hAnsi="仿宋_GB2312" w:eastAsia="仿宋_GB2312" w:cs="仿宋_GB2312"/>
          <w:color w:val="000000"/>
          <w:kern w:val="0"/>
          <w:sz w:val="32"/>
          <w:szCs w:val="32"/>
          <w:lang w:bidi="ar"/>
        </w:rPr>
        <w:t>五、</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主要条款的说明，主要技术指标、参数、实验验证的论述</w:t>
      </w:r>
    </w:p>
    <w:p w14:paraId="5CE17EB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六、重大意见分歧的处理依据和结果 </w:t>
      </w:r>
    </w:p>
    <w:p w14:paraId="04F649E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七、实施标准的措施建议 </w:t>
      </w:r>
    </w:p>
    <w:p w14:paraId="13A054B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八、知识产权说明</w:t>
      </w:r>
    </w:p>
    <w:p w14:paraId="2FAE072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九、其他应予说明的事项 </w:t>
      </w:r>
    </w:p>
    <w:p w14:paraId="1D6B7B4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bidi="ar"/>
        </w:rPr>
      </w:pPr>
    </w:p>
    <w:p w14:paraId="4E52D47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bidi="ar"/>
        </w:rPr>
      </w:pPr>
    </w:p>
    <w:p w14:paraId="36FFA2DA">
      <w:pPr>
        <w:keepNext w:val="0"/>
        <w:keepLines w:val="0"/>
        <w:pageBreakBefore w:val="0"/>
        <w:widowControl/>
        <w:kinsoku/>
        <w:wordWrap/>
        <w:overflowPunct/>
        <w:topLinePunct w:val="0"/>
        <w:autoSpaceDE/>
        <w:autoSpaceDN/>
        <w:bidi w:val="0"/>
        <w:spacing w:line="600" w:lineRule="exact"/>
        <w:jc w:val="left"/>
        <w:rPr>
          <w:rFonts w:ascii="黑体" w:hAnsi="宋体" w:eastAsia="黑体" w:cs="黑体"/>
          <w:color w:val="000000"/>
          <w:kern w:val="0"/>
          <w:sz w:val="31"/>
          <w:szCs w:val="31"/>
          <w:lang w:bidi="ar"/>
        </w:rPr>
      </w:pPr>
    </w:p>
    <w:p w14:paraId="4BC270A8">
      <w:pPr>
        <w:keepNext w:val="0"/>
        <w:keepLines w:val="0"/>
        <w:pageBreakBefore w:val="0"/>
        <w:widowControl/>
        <w:kinsoku/>
        <w:wordWrap/>
        <w:overflowPunct/>
        <w:topLinePunct w:val="0"/>
        <w:autoSpaceDE/>
        <w:autoSpaceDN/>
        <w:bidi w:val="0"/>
        <w:spacing w:line="600" w:lineRule="exact"/>
        <w:jc w:val="left"/>
        <w:rPr>
          <w:rFonts w:ascii="黑体" w:hAnsi="宋体" w:eastAsia="黑体" w:cs="黑体"/>
          <w:color w:val="000000"/>
          <w:kern w:val="0"/>
          <w:sz w:val="31"/>
          <w:szCs w:val="31"/>
          <w:lang w:bidi="ar"/>
        </w:rPr>
      </w:pPr>
    </w:p>
    <w:p w14:paraId="209ABA9A">
      <w:pPr>
        <w:keepNext w:val="0"/>
        <w:keepLines w:val="0"/>
        <w:pageBreakBefore w:val="0"/>
        <w:widowControl/>
        <w:kinsoku/>
        <w:wordWrap/>
        <w:overflowPunct/>
        <w:topLinePunct w:val="0"/>
        <w:autoSpaceDE/>
        <w:autoSpaceDN/>
        <w:bidi w:val="0"/>
        <w:spacing w:line="600" w:lineRule="exact"/>
        <w:jc w:val="left"/>
        <w:rPr>
          <w:rFonts w:ascii="黑体" w:hAnsi="宋体" w:eastAsia="黑体" w:cs="黑体"/>
          <w:color w:val="000000"/>
          <w:kern w:val="0"/>
          <w:sz w:val="31"/>
          <w:szCs w:val="31"/>
          <w:lang w:bidi="ar"/>
        </w:rPr>
      </w:pPr>
    </w:p>
    <w:p w14:paraId="632F4361">
      <w:pPr>
        <w:keepNext w:val="0"/>
        <w:keepLines w:val="0"/>
        <w:pageBreakBefore w:val="0"/>
        <w:widowControl/>
        <w:kinsoku/>
        <w:wordWrap/>
        <w:overflowPunct/>
        <w:topLinePunct w:val="0"/>
        <w:autoSpaceDE/>
        <w:autoSpaceDN/>
        <w:bidi w:val="0"/>
        <w:spacing w:line="600" w:lineRule="exact"/>
        <w:jc w:val="left"/>
        <w:rPr>
          <w:rFonts w:ascii="黑体" w:hAnsi="宋体" w:eastAsia="黑体" w:cs="黑体"/>
          <w:color w:val="000000"/>
          <w:kern w:val="0"/>
          <w:sz w:val="31"/>
          <w:szCs w:val="31"/>
          <w:lang w:bidi="ar"/>
        </w:rPr>
      </w:pPr>
    </w:p>
    <w:p w14:paraId="5C2A800A">
      <w:pPr>
        <w:keepNext w:val="0"/>
        <w:keepLines w:val="0"/>
        <w:pageBreakBefore w:val="0"/>
        <w:widowControl/>
        <w:kinsoku/>
        <w:wordWrap/>
        <w:overflowPunct/>
        <w:topLinePunct w:val="0"/>
        <w:autoSpaceDE/>
        <w:autoSpaceDN/>
        <w:bidi w:val="0"/>
        <w:spacing w:line="600" w:lineRule="exact"/>
        <w:jc w:val="left"/>
        <w:rPr>
          <w:rFonts w:ascii="黑体" w:hAnsi="宋体" w:eastAsia="黑体" w:cs="黑体"/>
          <w:color w:val="000000"/>
          <w:kern w:val="0"/>
          <w:sz w:val="31"/>
          <w:szCs w:val="31"/>
          <w:lang w:bidi="ar"/>
        </w:rPr>
      </w:pPr>
    </w:p>
    <w:p w14:paraId="6A34488F">
      <w:pPr>
        <w:keepNext w:val="0"/>
        <w:keepLines w:val="0"/>
        <w:pageBreakBefore w:val="0"/>
        <w:widowControl/>
        <w:kinsoku/>
        <w:wordWrap/>
        <w:overflowPunct/>
        <w:topLinePunct w:val="0"/>
        <w:autoSpaceDE/>
        <w:autoSpaceDN/>
        <w:bidi w:val="0"/>
        <w:spacing w:line="600" w:lineRule="exact"/>
        <w:jc w:val="left"/>
        <w:rPr>
          <w:rFonts w:ascii="黑体" w:hAnsi="宋体" w:eastAsia="黑体" w:cs="黑体"/>
          <w:color w:val="000000"/>
          <w:kern w:val="0"/>
          <w:sz w:val="31"/>
          <w:szCs w:val="31"/>
          <w:lang w:bidi="ar"/>
        </w:rPr>
      </w:pPr>
    </w:p>
    <w:p w14:paraId="3F8430D7">
      <w:pPr>
        <w:pStyle w:val="4"/>
        <w:keepNext w:val="0"/>
        <w:keepLines w:val="0"/>
        <w:pageBreakBefore w:val="0"/>
        <w:kinsoku/>
        <w:wordWrap/>
        <w:overflowPunct/>
        <w:topLinePunct w:val="0"/>
        <w:autoSpaceDE/>
        <w:autoSpaceDN/>
        <w:bidi w:val="0"/>
        <w:spacing w:line="600" w:lineRule="exact"/>
      </w:pPr>
    </w:p>
    <w:p w14:paraId="176AE503">
      <w:pPr>
        <w:keepNext w:val="0"/>
        <w:keepLines w:val="0"/>
        <w:pageBreakBefore w:val="0"/>
        <w:kinsoku/>
        <w:wordWrap/>
        <w:overflowPunct/>
        <w:topLinePunct w:val="0"/>
        <w:autoSpaceDE/>
        <w:autoSpaceDN/>
        <w:bidi w:val="0"/>
        <w:spacing w:line="600" w:lineRule="exact"/>
      </w:pPr>
    </w:p>
    <w:p w14:paraId="4CD5F45A">
      <w:pPr>
        <w:pStyle w:val="2"/>
        <w:keepNext w:val="0"/>
        <w:keepLines w:val="0"/>
        <w:pageBreakBefore w:val="0"/>
        <w:kinsoku/>
        <w:wordWrap/>
        <w:overflowPunct/>
        <w:topLinePunct w:val="0"/>
        <w:autoSpaceDE/>
        <w:autoSpaceDN/>
        <w:bidi w:val="0"/>
        <w:spacing w:line="600" w:lineRule="exact"/>
      </w:pPr>
    </w:p>
    <w:p w14:paraId="16B6C96B">
      <w:pPr>
        <w:pStyle w:val="8"/>
        <w:keepNext w:val="0"/>
        <w:keepLines w:val="0"/>
        <w:pageBreakBefore w:val="0"/>
        <w:kinsoku/>
        <w:wordWrap/>
        <w:overflowPunct/>
        <w:topLinePunct w:val="0"/>
        <w:autoSpaceDE/>
        <w:autoSpaceDN/>
        <w:bidi w:val="0"/>
        <w:spacing w:line="600" w:lineRule="exact"/>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w:t>
      </w:r>
      <w:r>
        <w:rPr>
          <w:rFonts w:hint="eastAsia" w:ascii="方正小标宋_GBK" w:hAnsi="方正小标宋_GBK" w:eastAsia="方正小标宋_GBK" w:cs="方正小标宋_GBK"/>
          <w:b w:val="0"/>
          <w:bCs w:val="0"/>
          <w:sz w:val="44"/>
          <w:szCs w:val="44"/>
          <w:lang w:eastAsia="zh-CN"/>
        </w:rPr>
        <w:t>粮油作物一次性施肥技术规程</w:t>
      </w:r>
      <w:r>
        <w:rPr>
          <w:rFonts w:hint="eastAsia" w:ascii="方正小标宋_GBK" w:hAnsi="方正小标宋_GBK" w:eastAsia="方正小标宋_GBK" w:cs="方正小标宋_GBK"/>
          <w:b w:val="0"/>
          <w:bCs w:val="0"/>
          <w:sz w:val="44"/>
          <w:szCs w:val="44"/>
          <w:lang w:val="en-US" w:eastAsia="zh-CN"/>
        </w:rPr>
        <w:t xml:space="preserve"> 第2部分：</w:t>
      </w:r>
      <w:r>
        <w:rPr>
          <w:rFonts w:hint="eastAsia" w:ascii="方正小标宋_GBK" w:hAnsi="方正小标宋_GBK" w:eastAsia="方正小标宋_GBK" w:cs="方正小标宋_GBK"/>
          <w:b w:val="0"/>
          <w:bCs w:val="0"/>
          <w:sz w:val="44"/>
          <w:szCs w:val="44"/>
          <w:lang w:eastAsia="zh-CN"/>
        </w:rPr>
        <w:t>水稻</w:t>
      </w:r>
      <w:r>
        <w:rPr>
          <w:rFonts w:hint="eastAsia" w:ascii="方正小标宋_GBK" w:hAnsi="方正小标宋_GBK" w:eastAsia="方正小标宋_GBK" w:cs="方正小标宋_GBK"/>
          <w:b w:val="0"/>
          <w:bCs w:val="0"/>
          <w:sz w:val="44"/>
          <w:szCs w:val="44"/>
        </w:rPr>
        <w:t>》地方标准</w:t>
      </w:r>
    </w:p>
    <w:p w14:paraId="0EC3380B">
      <w:pPr>
        <w:pStyle w:val="8"/>
        <w:keepNext w:val="0"/>
        <w:keepLines w:val="0"/>
        <w:pageBreakBefore w:val="0"/>
        <w:kinsoku/>
        <w:wordWrap/>
        <w:overflowPunct/>
        <w:topLinePunct w:val="0"/>
        <w:autoSpaceDE/>
        <w:autoSpaceDN/>
        <w:bidi w:val="0"/>
        <w:spacing w:line="600" w:lineRule="exact"/>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bCs w:val="0"/>
          <w:sz w:val="44"/>
          <w:szCs w:val="44"/>
          <w:lang w:eastAsia="zh-CN"/>
        </w:rPr>
        <w:t>编制</w:t>
      </w:r>
      <w:r>
        <w:rPr>
          <w:rFonts w:hint="eastAsia" w:ascii="方正小标宋_GBK" w:hAnsi="方正小标宋_GBK" w:eastAsia="方正小标宋_GBK" w:cs="方正小标宋_GBK"/>
          <w:b w:val="0"/>
          <w:bCs w:val="0"/>
          <w:sz w:val="44"/>
          <w:szCs w:val="44"/>
        </w:rPr>
        <w:t>说明</w:t>
      </w:r>
    </w:p>
    <w:p w14:paraId="414D8F3D">
      <w:pPr>
        <w:keepNext w:val="0"/>
        <w:keepLines w:val="0"/>
        <w:pageBreakBefore w:val="0"/>
        <w:kinsoku/>
        <w:wordWrap/>
        <w:overflowPunct/>
        <w:topLinePunct w:val="0"/>
        <w:autoSpaceDE/>
        <w:autoSpaceDN/>
        <w:bidi w:val="0"/>
        <w:spacing w:line="600" w:lineRule="exact"/>
        <w:ind w:firstLine="640" w:firstLineChars="200"/>
        <w:rPr>
          <w:rFonts w:hint="eastAsia" w:ascii="黑体" w:hAnsi="黑体" w:eastAsia="黑体" w:cs="黑体"/>
          <w:sz w:val="32"/>
          <w:szCs w:val="32"/>
        </w:rPr>
      </w:pPr>
    </w:p>
    <w:p w14:paraId="16D4E836">
      <w:pPr>
        <w:keepNext w:val="0"/>
        <w:keepLines w:val="0"/>
        <w:pageBreakBefore w:val="0"/>
        <w:kinsoku/>
        <w:wordWrap/>
        <w:overflowPunct/>
        <w:topLinePunct w:val="0"/>
        <w:autoSpaceDE/>
        <w:autoSpaceDN/>
        <w:bidi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一、工作简况</w:t>
      </w:r>
    </w:p>
    <w:p w14:paraId="6C83E275">
      <w:pPr>
        <w:keepNext w:val="0"/>
        <w:keepLines w:val="0"/>
        <w:pageBreakBefore w:val="0"/>
        <w:kinsoku/>
        <w:wordWrap/>
        <w:overflowPunct/>
        <w:topLinePunct w:val="0"/>
        <w:autoSpaceDE/>
        <w:autoSpaceDN/>
        <w:bidi w:val="0"/>
        <w:spacing w:line="600" w:lineRule="exact"/>
        <w:ind w:firstLine="643"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楷体" w:hAnsi="楷体" w:eastAsia="楷体" w:cs="楷体"/>
          <w:b/>
          <w:bCs/>
          <w:sz w:val="32"/>
          <w:szCs w:val="32"/>
        </w:rPr>
        <w:t>（一）任务来源</w:t>
      </w:r>
      <w:r>
        <w:rPr>
          <w:rFonts w:hint="eastAsia" w:ascii="楷体" w:hAnsi="楷体" w:eastAsia="楷体" w:cs="楷体"/>
          <w:b/>
          <w:bCs/>
          <w:sz w:val="32"/>
          <w:szCs w:val="32"/>
          <w:lang w:eastAsia="zh-CN"/>
        </w:rPr>
        <w:t>。</w:t>
      </w:r>
      <w:r>
        <w:rPr>
          <w:rFonts w:hint="eastAsia" w:ascii="仿宋_GB2312" w:hAnsi="仿宋_GB2312" w:eastAsia="仿宋_GB2312" w:cs="仿宋_GB2312"/>
          <w:sz w:val="32"/>
          <w:szCs w:val="32"/>
        </w:rPr>
        <w:t>根据宁夏回族自治区</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市场监管厅</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《关于征集2025年宁夏地方标准立项建议的</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通知</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及</w:t>
      </w:r>
      <w:r>
        <w:rPr>
          <w:rStyle w:val="12"/>
          <w:rFonts w:hint="eastAsia" w:ascii="仿宋_GB2312" w:hAnsi="仿宋_GB2312" w:eastAsia="仿宋_GB2312" w:cs="仿宋_GB2312"/>
          <w:b w:val="0"/>
          <w:color w:val="000000"/>
          <w:sz w:val="32"/>
          <w:szCs w:val="32"/>
        </w:rPr>
        <w:t>《关于下达2025年宁夏地方标准制（修）订计划的通知》</w:t>
      </w:r>
      <w:r>
        <w:rPr>
          <w:rStyle w:val="12"/>
          <w:rFonts w:hint="eastAsia" w:ascii="仿宋_GB2312" w:hAnsi="仿宋_GB2312" w:eastAsia="仿宋_GB2312" w:cs="仿宋_GB2312"/>
          <w:b w:val="0"/>
          <w:color w:val="000000"/>
          <w:sz w:val="32"/>
          <w:szCs w:val="32"/>
          <w:lang w:eastAsia="zh-CN"/>
        </w:rPr>
        <w:t>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粮油作物一次性施肥</w:t>
      </w:r>
      <w:r>
        <w:rPr>
          <w:rFonts w:hint="eastAsia" w:ascii="仿宋_GB2312" w:hAnsi="仿宋_GB2312" w:eastAsia="仿宋_GB2312" w:cs="仿宋_GB2312"/>
          <w:sz w:val="32"/>
          <w:szCs w:val="32"/>
        </w:rPr>
        <w:t>技术规</w:t>
      </w:r>
      <w:r>
        <w:rPr>
          <w:rFonts w:hint="eastAsia" w:ascii="仿宋_GB2312" w:hAnsi="仿宋_GB2312" w:eastAsia="仿宋_GB2312" w:cs="仿宋_GB2312"/>
          <w:sz w:val="32"/>
          <w:szCs w:val="32"/>
          <w:lang w:val="en-US" w:eastAsia="zh-CN"/>
        </w:rPr>
        <w:t xml:space="preserve"> 第2部分：水稻</w:t>
      </w:r>
      <w:r>
        <w:rPr>
          <w:rFonts w:hint="eastAsia" w:ascii="仿宋_GB2312" w:hAnsi="仿宋_GB2312" w:eastAsia="仿宋_GB2312" w:cs="仿宋_GB2312"/>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被列为</w:t>
      </w:r>
      <w:r>
        <w:rPr>
          <w:rFonts w:ascii="仿宋_GB2312" w:hAnsi="仿宋_GB2312" w:eastAsia="仿宋_GB2312" w:cs="仿宋_GB2312"/>
          <w:snapToGrid w:val="0"/>
          <w:color w:val="000000" w:themeColor="text1"/>
          <w:kern w:val="0"/>
          <w:sz w:val="32"/>
          <w:szCs w:val="32"/>
          <w14:textFill>
            <w14:solidFill>
              <w14:schemeClr w14:val="tx1"/>
            </w14:solidFill>
          </w14:textFill>
        </w:rPr>
        <w:t>202</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5</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年地方标准制（修）订计划。为落实相关工作要求，推进</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粮食安全与</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农业绿色高质量发展</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自治区农业技术推广总站</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基于</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近</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15</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年在不同粮食作物上开展</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一次性施肥</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技术试验示范</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取得的</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成果与实践经验，组织编制本规程。</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本</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标准由宁夏回族自治区农业农村厅提出并归口。</w:t>
      </w:r>
    </w:p>
    <w:p w14:paraId="042725C3">
      <w:pPr>
        <w:keepNext w:val="0"/>
        <w:keepLines w:val="0"/>
        <w:pageBreakBefore w:val="0"/>
        <w:kinsoku/>
        <w:wordWrap/>
        <w:overflowPunct/>
        <w:topLinePunct w:val="0"/>
        <w:autoSpaceDE/>
        <w:autoSpaceDN/>
        <w:bidi w:val="0"/>
        <w:spacing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（二）起草单位</w:t>
      </w:r>
    </w:p>
    <w:p w14:paraId="3E6916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本标准主要承担单位：</w:t>
      </w:r>
      <w:r>
        <w:rPr>
          <w:rFonts w:hint="eastAsia" w:ascii="仿宋_GB2312" w:hAnsi="仿宋_GB2312" w:eastAsia="仿宋_GB2312" w:cs="仿宋_GB2312"/>
          <w:sz w:val="32"/>
          <w:szCs w:val="32"/>
          <w:lang w:eastAsia="zh-CN"/>
        </w:rPr>
        <w:t>宁夏回族自治区农业技术推广总站</w:t>
      </w:r>
    </w:p>
    <w:p w14:paraId="5DBA85E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协作</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中宁县农业技术推广服务中心、沙坡头区农业技术推广服务中心、银川市农业技术推广服务中心、青铜峡市农业技术和农机化推广服务中心、银川市西夏区农林技术推广服务中心、吴忠市利通区农业技术推广服务中心、永宁县农业技术推广服务中心、贺兰县农业技术推广服务中心、灵武市农业技术推广服务中心、平罗县农业技术推广服务中心、石嘴山市惠农区农业技术推广服务中心</w:t>
      </w:r>
      <w:r>
        <w:rPr>
          <w:rFonts w:hint="eastAsia" w:ascii="仿宋_GB2312" w:hAnsi="仿宋_GB2312" w:eastAsia="仿宋_GB2312" w:cs="仿宋_GB2312"/>
          <w:sz w:val="32"/>
          <w:szCs w:val="32"/>
          <w:lang w:eastAsia="zh-CN"/>
        </w:rPr>
        <w:t>。</w:t>
      </w:r>
    </w:p>
    <w:p w14:paraId="6CD08DAC">
      <w:pPr>
        <w:keepNext w:val="0"/>
        <w:keepLines w:val="0"/>
        <w:pageBreakBefore w:val="0"/>
        <w:kinsoku/>
        <w:wordWrap/>
        <w:overflowPunct/>
        <w:topLinePunct w:val="0"/>
        <w:autoSpaceDE/>
        <w:autoSpaceDN/>
        <w:bidi w:val="0"/>
        <w:spacing w:line="60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（三）主要</w:t>
      </w:r>
      <w:r>
        <w:rPr>
          <w:rFonts w:ascii="楷体" w:hAnsi="楷体" w:eastAsia="楷体" w:cs="楷体"/>
          <w:b/>
          <w:bCs/>
          <w:sz w:val="32"/>
          <w:szCs w:val="32"/>
        </w:rPr>
        <w:t>起草人</w:t>
      </w:r>
      <w:r>
        <w:rPr>
          <w:rFonts w:hint="eastAsia" w:ascii="楷体" w:hAnsi="楷体" w:eastAsia="楷体" w:cs="楷体"/>
          <w:b/>
          <w:bCs/>
          <w:sz w:val="32"/>
          <w:szCs w:val="32"/>
          <w:lang w:eastAsia="zh-CN"/>
        </w:rPr>
        <w:t>及分工</w:t>
      </w:r>
    </w:p>
    <w:p w14:paraId="788FFE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本标准主要起草人员及分工详见下表。</w:t>
      </w:r>
    </w:p>
    <w:p w14:paraId="5D5A94AF">
      <w:pPr>
        <w:keepNext w:val="0"/>
        <w:keepLines w:val="0"/>
        <w:pageBreakBefore w:val="0"/>
        <w:kinsoku/>
        <w:wordWrap/>
        <w:overflowPunct/>
        <w:topLinePunct w:val="0"/>
        <w:autoSpaceDE/>
        <w:autoSpaceDN/>
        <w:bidi w:val="0"/>
        <w:spacing w:line="600" w:lineRule="exact"/>
        <w:jc w:val="center"/>
        <w:rPr>
          <w:rFonts w:hint="eastAsia" w:ascii="Times New Roman" w:hAnsi="Times New Roman" w:eastAsiaTheme="minorEastAsia"/>
          <w:sz w:val="24"/>
          <w:szCs w:val="24"/>
          <w:lang w:eastAsia="zh-CN"/>
        </w:rPr>
      </w:pPr>
      <w:r>
        <w:rPr>
          <w:rFonts w:ascii="Times New Roman" w:hAnsi="Times New Roman"/>
          <w:sz w:val="24"/>
          <w:szCs w:val="24"/>
        </w:rPr>
        <w:t>表1</w:t>
      </w:r>
      <w:r>
        <w:rPr>
          <w:rFonts w:hint="eastAsia" w:ascii="Times New Roman" w:hAnsi="Times New Roman"/>
          <w:sz w:val="24"/>
          <w:szCs w:val="24"/>
        </w:rPr>
        <w:t>地方</w:t>
      </w:r>
      <w:r>
        <w:rPr>
          <w:rFonts w:ascii="Times New Roman" w:hAnsi="Times New Roman"/>
          <w:sz w:val="24"/>
          <w:szCs w:val="24"/>
        </w:rPr>
        <w:t>标准</w:t>
      </w:r>
      <w:r>
        <w:rPr>
          <w:rFonts w:hint="eastAsia" w:ascii="Times New Roman" w:hAnsi="Times New Roman"/>
          <w:sz w:val="24"/>
          <w:szCs w:val="24"/>
        </w:rPr>
        <w:t>“</w:t>
      </w:r>
      <w:r>
        <w:rPr>
          <w:rFonts w:hint="eastAsia" w:ascii="Times New Roman" w:hAnsi="Times New Roman"/>
          <w:sz w:val="24"/>
          <w:szCs w:val="24"/>
          <w:lang w:eastAsia="zh-CN"/>
        </w:rPr>
        <w:t>粮油作物一次性施肥</w:t>
      </w:r>
      <w:r>
        <w:rPr>
          <w:rFonts w:hint="eastAsia" w:ascii="Times New Roman" w:hAnsi="Times New Roman"/>
          <w:sz w:val="24"/>
          <w:szCs w:val="24"/>
        </w:rPr>
        <w:t>技术规</w:t>
      </w:r>
      <w:r>
        <w:rPr>
          <w:rFonts w:hint="eastAsia" w:ascii="Times New Roman" w:hAnsi="Times New Roman"/>
          <w:sz w:val="24"/>
          <w:szCs w:val="24"/>
          <w:lang w:val="en-US" w:eastAsia="zh-CN"/>
        </w:rPr>
        <w:t xml:space="preserve"> 第2部分：水稻</w:t>
      </w:r>
      <w:r>
        <w:rPr>
          <w:rFonts w:hint="eastAsia" w:ascii="Times New Roman" w:hAnsi="Times New Roman"/>
          <w:sz w:val="24"/>
          <w:szCs w:val="24"/>
        </w:rPr>
        <w:t>”</w:t>
      </w:r>
      <w:r>
        <w:rPr>
          <w:rFonts w:hint="eastAsia" w:ascii="Times New Roman" w:hAnsi="Times New Roman"/>
          <w:sz w:val="24"/>
          <w:szCs w:val="24"/>
          <w:lang w:eastAsia="zh-CN"/>
        </w:rPr>
        <w:t>起草人及分工</w:t>
      </w:r>
    </w:p>
    <w:tbl>
      <w:tblPr>
        <w:tblStyle w:val="10"/>
        <w:tblW w:w="9369"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3"/>
        <w:gridCol w:w="1091"/>
        <w:gridCol w:w="1759"/>
        <w:gridCol w:w="5796"/>
      </w:tblGrid>
      <w:tr w14:paraId="42300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82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序号</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D7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成员</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DD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职称</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9EB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主要工作</w:t>
            </w:r>
          </w:p>
        </w:tc>
      </w:tr>
      <w:tr w14:paraId="6A241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78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8C77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尹学红</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20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研究员</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1E3B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总体负责标准制订。</w:t>
            </w:r>
          </w:p>
        </w:tc>
      </w:tr>
      <w:tr w14:paraId="1D902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BD3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7B1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  华</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9D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7E2B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负责水稻缓释肥田间试验研究方案的设计、组织实施和协调，技术规程编写的组织及编写。</w:t>
            </w:r>
          </w:p>
        </w:tc>
      </w:tr>
      <w:tr w14:paraId="051B9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19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00CF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王明国</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4BB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正高级农艺师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04E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负责水稻缓释肥田间试验研究方案的设计、组织实施和协调，技术规程编写的组织及编写。</w:t>
            </w:r>
          </w:p>
        </w:tc>
      </w:tr>
      <w:tr w14:paraId="7C435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79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E2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耿  荣</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2E4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CBD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负责全区缓释肥田间试验效果监测、实验数据的收集和整理。</w:t>
            </w:r>
          </w:p>
        </w:tc>
      </w:tr>
      <w:tr w14:paraId="121CC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26D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F43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陈  磊</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04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高级农机工程师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ADC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负责全区缓释肥田间试验效果监测、实验数据的收集和整理。</w:t>
            </w:r>
          </w:p>
        </w:tc>
      </w:tr>
      <w:tr w14:paraId="79662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5D5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24C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张婷婷</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3A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7FE8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负责全区缓释肥试验实施、田间技术指导与示范推广及数据收集整理，参与技术规程的撰写。</w:t>
            </w:r>
          </w:p>
        </w:tc>
      </w:tr>
      <w:tr w14:paraId="49AE7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50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08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庞  宏</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BCD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高级农机工程师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703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w:t>
            </w:r>
          </w:p>
        </w:tc>
      </w:tr>
      <w:tr w14:paraId="45D6A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8AD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05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郭军成</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A3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正高级农艺师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6A7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负责全区缓释肥田间试验研究、实验数据的收集和整理，参与技术规程的撰写。</w:t>
            </w:r>
          </w:p>
        </w:tc>
      </w:tr>
      <w:tr w14:paraId="3D9F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1A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8CD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王翰霖</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4A94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597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负责项目区试验数据观测与收集整理及肥料效果监测调查，参与技术规程的撰写。</w:t>
            </w:r>
          </w:p>
        </w:tc>
      </w:tr>
      <w:tr w14:paraId="77122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5C0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36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丁永峰</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65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D1BE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负责项目区试验数据观测与收集整理及肥料效果监测调查，参与技术规程的撰写。</w:t>
            </w:r>
          </w:p>
        </w:tc>
      </w:tr>
      <w:tr w14:paraId="01B49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B3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2FF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李  华</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A37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研究员</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C26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负责全区田间试验、效果监测、实验数据的收集和整理，技术规程的撰写。</w:t>
            </w:r>
          </w:p>
        </w:tc>
      </w:tr>
      <w:tr w14:paraId="06F8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D3DE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557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  丽</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84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6DF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7E34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917D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C6B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王青凤</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6E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117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02B6B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E0E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37B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季  文</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42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46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273F7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AD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66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高秀丽</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53F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115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1DAA6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55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AA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王双喜</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31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C21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负责项目区试验数据观测与收集整理及肥料效果监测调查，参与技术规程的撰写。</w:t>
            </w:r>
          </w:p>
        </w:tc>
      </w:tr>
      <w:tr w14:paraId="73038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608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11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王宝锁</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56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正高级农艺师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9F5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40570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A7EB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EB1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任  杨</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A2A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5D2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1D189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E77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57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王晓彤</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C681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林业工程师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F66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14CD5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61D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C8C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马晓霞</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400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73D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7054B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CC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597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  珞</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AD8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ACEE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15809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DDE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CF0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马  婧</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27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97A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0F0EE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E1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91C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仇佳欣</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7CC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0A2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4423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ABA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22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马远远</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28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0BF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63627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99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A20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李  志</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43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3EE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77E1C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F6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1B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田惠萍</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04F6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07A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483A8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18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90F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康  馨</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85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3E0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6504C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30E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2F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马超超</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A5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6C5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5118D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E3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9C1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王生明</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68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正高级农艺师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D20A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66A66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33E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37C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刘文莉</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A2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279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1F9DD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24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89F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张甜笑</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FA5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913B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483D3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49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28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饶丽仙</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FF1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E6B3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5B9C8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FB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56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马贵福</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197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E293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r w14:paraId="7A0FE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E8C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02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田芸瑞</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49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FD8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负责项目区田间试验、效果监测、实验数据的收集和整理。</w:t>
            </w:r>
          </w:p>
        </w:tc>
      </w:tr>
      <w:tr w14:paraId="6F50B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1F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7F6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吕  甫</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B0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B5E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负责项目区田间试验、效果监测</w:t>
            </w:r>
            <w:r>
              <w:rPr>
                <w:rStyle w:val="21"/>
                <w:lang w:val="en-US" w:eastAsia="zh-CN" w:bidi="ar"/>
              </w:rPr>
              <w:t>、实验数据的收集和整理。</w:t>
            </w:r>
          </w:p>
        </w:tc>
      </w:tr>
      <w:tr w14:paraId="04444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93C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F2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王晓媛</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D8DC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高级农艺</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23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负责全区田间试验效果监测、实验数据的收集和整理</w:t>
            </w:r>
          </w:p>
        </w:tc>
      </w:tr>
      <w:tr w14:paraId="05E73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E3A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A4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李湘宁</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3FC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122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负责全区田间试验效果监测、实验数据的收集和整理。</w:t>
            </w:r>
          </w:p>
        </w:tc>
      </w:tr>
      <w:tr w14:paraId="1EE9B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1FF5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3CF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赵志鹏</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31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B19C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负责项目区田间试验、效果监测</w:t>
            </w:r>
            <w:r>
              <w:rPr>
                <w:rStyle w:val="21"/>
                <w:lang w:val="en-US" w:eastAsia="zh-CN" w:bidi="ar"/>
              </w:rPr>
              <w:t>、实验数据的收集和整理。</w:t>
            </w:r>
          </w:p>
        </w:tc>
      </w:tr>
      <w:tr w14:paraId="5359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21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47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杜常荣</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CB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高级农艺师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2B3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负责缓释肥及一次性施肥技术田间试验、技术指导、效果监测、实验数据的收集和整理。</w:t>
            </w:r>
          </w:p>
        </w:tc>
      </w:tr>
      <w:tr w14:paraId="4ED58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A0B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1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201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  龙</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91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助理农艺师</w:t>
            </w:r>
          </w:p>
        </w:tc>
        <w:tc>
          <w:tcPr>
            <w:tcW w:w="5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BFE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负责项目区田间试验及调查、数据收集及整理。</w:t>
            </w:r>
          </w:p>
        </w:tc>
      </w:tr>
    </w:tbl>
    <w:p w14:paraId="52E43252">
      <w:pPr>
        <w:keepNext w:val="0"/>
        <w:keepLines w:val="0"/>
        <w:pageBreakBefore w:val="0"/>
        <w:kinsoku/>
        <w:wordWrap/>
        <w:overflowPunct/>
        <w:topLinePunct w:val="0"/>
        <w:autoSpaceDE/>
        <w:autoSpaceDN/>
        <w:bidi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ascii="黑体" w:hAnsi="黑体" w:eastAsia="黑体" w:cs="黑体"/>
          <w:sz w:val="32"/>
          <w:szCs w:val="32"/>
        </w:rPr>
        <w:t>、</w:t>
      </w:r>
      <w:r>
        <w:rPr>
          <w:rFonts w:hint="eastAsia" w:ascii="黑体" w:hAnsi="黑体" w:eastAsia="黑体" w:cs="黑体"/>
          <w:sz w:val="32"/>
          <w:szCs w:val="32"/>
          <w:lang w:eastAsia="zh-CN"/>
        </w:rPr>
        <w:t>制订</w:t>
      </w:r>
      <w:r>
        <w:rPr>
          <w:rFonts w:hint="eastAsia" w:ascii="黑体" w:hAnsi="黑体" w:eastAsia="黑体" w:cs="黑体"/>
          <w:sz w:val="32"/>
          <w:szCs w:val="32"/>
          <w:lang w:val="en-US" w:eastAsia="zh-CN"/>
        </w:rPr>
        <w:t>(修订)</w:t>
      </w:r>
      <w:r>
        <w:rPr>
          <w:rFonts w:ascii="黑体" w:hAnsi="黑体" w:eastAsia="黑体" w:cs="黑体"/>
          <w:sz w:val="32"/>
          <w:szCs w:val="32"/>
        </w:rPr>
        <w:t>标准的必要性和意义</w:t>
      </w:r>
    </w:p>
    <w:p w14:paraId="777250AA">
      <w:pPr>
        <w:keepNext w:val="0"/>
        <w:keepLines w:val="0"/>
        <w:pageBreakBefore w:val="0"/>
        <w:kinsoku/>
        <w:wordWrap/>
        <w:overflowPunct/>
        <w:topLinePunct w:val="0"/>
        <w:autoSpaceDE/>
        <w:autoSpaceDN/>
        <w:bidi w:val="0"/>
        <w:spacing w:line="600" w:lineRule="exact"/>
        <w:ind w:firstLine="560" w:firstLineChars="200"/>
        <w:rPr>
          <w:rFonts w:hint="eastAsia"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仿宋_GB2312" w:eastAsia="仿宋_GB2312"/>
          <w:color w:val="000000"/>
          <w:sz w:val="28"/>
          <w:szCs w:val="28"/>
        </w:rPr>
        <w:t>水稻是宁夏引黄灌区“塞上江南”的标志性作物，</w:t>
      </w:r>
      <w:r>
        <w:rPr>
          <w:rFonts w:ascii="仿宋_GB2312" w:eastAsia="仿宋_GB2312"/>
          <w:color w:val="000000"/>
          <w:sz w:val="28"/>
          <w:szCs w:val="28"/>
        </w:rPr>
        <w:t>也是重要的口粮作物之一</w:t>
      </w:r>
      <w:r>
        <w:rPr>
          <w:rFonts w:hint="eastAsia" w:ascii="仿宋_GB2312" w:eastAsia="仿宋_GB2312"/>
          <w:color w:val="000000"/>
          <w:sz w:val="28"/>
          <w:szCs w:val="28"/>
        </w:rPr>
        <w:t>，</w:t>
      </w:r>
      <w:r>
        <w:rPr>
          <w:rFonts w:ascii="仿宋_GB2312" w:eastAsia="仿宋_GB2312"/>
          <w:color w:val="000000"/>
          <w:sz w:val="28"/>
          <w:szCs w:val="28"/>
        </w:rPr>
        <w:t>在保障区域口粮安全、改善生态环境、助力农民增收等方面发挥着不可替</w:t>
      </w:r>
      <w:r>
        <w:rPr>
          <w:rFonts w:hint="eastAsia" w:ascii="仿宋_GB2312" w:hAnsi="Calibri" w:eastAsia="仿宋_GB2312" w:cs="Times New Roman"/>
          <w:color w:val="000000"/>
          <w:sz w:val="28"/>
          <w:szCs w:val="28"/>
        </w:rPr>
        <w:t>代的重要作用。</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然而在水稻实际生产中仍普遍存在化肥投入过量、施肥次数频繁、劳动力成本高、肥料利用率偏低等问题，不仅推高了生产成本、降低了种植效益，也加剧了耕地质量退化与农业面源污染，制约了农业绿色可持续发展。为突破上述技术瓶颈，宁夏农业技术推广总站自2010年起，在宁夏引黄灌区插秧水稻、播后上水水稻上系统开展了缓释型肥料引进筛选与施用技术研究，初步提出了适用于水稻一次性施肥的缓释型配方肥用量与方法。该技术可实现水稻全生育期养分稳定供应，在显著增产的同时，有效减少施肥次数与化肥总量，降低劳动强度和能源消耗，有助于缓解农村劳动力结构性短缺矛盾，并从根本上解决传统追肥方式中肥料分布不匀、挥发流失严重等问题。制订《粮油作物一次性施肥技术规程 第2部分：水稻》地方标准，旨在将多年试验研究与示范成果固化为可复制、可推广、可操作的技术规范，推动水稻生产向轻简化、精准化、绿色化方向转型升级，对提升肥料利用率、保障粮食稳产增产、促进农业减排增效具有重要意义。</w:t>
      </w:r>
    </w:p>
    <w:p w14:paraId="29BF0689">
      <w:pPr>
        <w:keepNext w:val="0"/>
        <w:keepLines w:val="0"/>
        <w:pageBreakBefore w:val="0"/>
        <w:kinsoku/>
        <w:wordWrap/>
        <w:overflowPunct/>
        <w:topLinePunct w:val="0"/>
        <w:autoSpaceDE/>
        <w:autoSpaceDN/>
        <w:bidi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rPr>
        <w:t>、</w:t>
      </w:r>
      <w:r>
        <w:rPr>
          <w:rFonts w:hint="eastAsia" w:ascii="黑体" w:hAnsi="黑体" w:eastAsia="黑体" w:cs="黑体"/>
          <w:sz w:val="32"/>
          <w:szCs w:val="32"/>
        </w:rPr>
        <w:t>主要起草过程</w:t>
      </w:r>
    </w:p>
    <w:p w14:paraId="2C78DFF5">
      <w:pPr>
        <w:keepNext w:val="0"/>
        <w:keepLines w:val="0"/>
        <w:pageBreakBefore w:val="0"/>
        <w:kinsoku/>
        <w:wordWrap/>
        <w:overflowPunct/>
        <w:topLinePunct w:val="0"/>
        <w:autoSpaceDE/>
        <w:autoSpaceDN/>
        <w:bidi w:val="0"/>
        <w:spacing w:line="600" w:lineRule="exact"/>
        <w:ind w:firstLine="643" w:firstLineChars="200"/>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（一）组建起草组，明确职责分工。</w:t>
      </w:r>
      <w:r>
        <w:rPr>
          <w:rFonts w:hint="eastAsia" w:ascii="仿宋_GB2312" w:hAnsi="仿宋_GB2312" w:eastAsia="仿宋_GB2312" w:cs="仿宋_GB2312"/>
          <w:sz w:val="32"/>
          <w:szCs w:val="32"/>
          <w:lang w:val="en-US" w:eastAsia="zh-CN"/>
        </w:rPr>
        <w:t>自治区农业技术推广总站在收到地方标准制（修）订任务后，及时组建标准制订工作组，细化职责分工，制定工作计划，确保标准制订工作有序推进、按期完成。</w:t>
      </w:r>
    </w:p>
    <w:p w14:paraId="0DAB7AF4">
      <w:pPr>
        <w:keepNext w:val="0"/>
        <w:keepLines w:val="0"/>
        <w:pageBreakBefore w:val="0"/>
        <w:kinsoku/>
        <w:wordWrap/>
        <w:overflowPunct/>
        <w:topLinePunct w:val="0"/>
        <w:autoSpaceDE/>
        <w:autoSpaceDN/>
        <w:bidi w:val="0"/>
        <w:spacing w:line="600" w:lineRule="exact"/>
        <w:ind w:firstLine="643" w:firstLineChars="200"/>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b/>
          <w:bCs/>
          <w:sz w:val="32"/>
          <w:szCs w:val="32"/>
        </w:rPr>
        <w:t>（二）开展资料收集与分析</w:t>
      </w:r>
      <w:r>
        <w:rPr>
          <w:rFonts w:hint="eastAsia" w:ascii="楷体" w:hAnsi="楷体" w:eastAsia="楷体" w:cs="楷体"/>
          <w:b/>
          <w:bCs/>
          <w:sz w:val="32"/>
          <w:szCs w:val="32"/>
          <w:lang w:eastAsia="zh-CN"/>
        </w:rPr>
        <w:t>。</w:t>
      </w:r>
      <w:r>
        <w:rPr>
          <w:rFonts w:hint="eastAsia" w:ascii="仿宋_GB2312" w:hAnsi="仿宋_GB2312" w:eastAsia="仿宋_GB2312" w:cs="仿宋_GB2312"/>
          <w:color w:val="000000"/>
          <w:kern w:val="0"/>
          <w:sz w:val="32"/>
          <w:szCs w:val="32"/>
          <w:lang w:val="en-US" w:eastAsia="zh-CN" w:bidi="ar"/>
        </w:rPr>
        <w:t>起草组以测土配方施肥和化肥减量增效项目在主要粮食作物上开展的田间试验为基础，系统梳理、分析2010年以来在宁夏水稻上开展的一次性施肥技术试验研究与示范数据，广泛搜集相关法律法规、政策文件、标准文献及研究报告，参考国内外技术进展与实践经验，初步形成本标准编写大纲、主要技术内容和结构框架，为后续编制奠定基础。</w:t>
      </w:r>
    </w:p>
    <w:p w14:paraId="42C790AD">
      <w:pPr>
        <w:keepNext w:val="0"/>
        <w:keepLines w:val="0"/>
        <w:pageBreakBefore w:val="0"/>
        <w:kinsoku/>
        <w:wordWrap/>
        <w:overflowPunct/>
        <w:topLinePunct w:val="0"/>
        <w:autoSpaceDE/>
        <w:autoSpaceDN/>
        <w:bidi w:val="0"/>
        <w:spacing w:line="60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rPr>
        <w:t>（三）形成标准草案。</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月，起草组在系统整理、分析资料的基础上，完成标准讨论稿编制。</w:t>
      </w:r>
    </w:p>
    <w:p w14:paraId="0E797688">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2025年5月，</w:t>
      </w:r>
      <w:r>
        <w:rPr>
          <w:rStyle w:val="17"/>
          <w:rFonts w:hint="eastAsia" w:ascii="仿宋_GB2312" w:hAnsi="仿宋_GB2312" w:eastAsia="仿宋_GB2312" w:cs="仿宋_GB2312"/>
          <w:color w:val="000000" w:themeColor="text1"/>
          <w:kern w:val="0"/>
          <w:sz w:val="32"/>
          <w:szCs w:val="32"/>
          <w:lang w:val="zh-CN"/>
          <w14:textFill>
            <w14:solidFill>
              <w14:schemeClr w14:val="tx1"/>
            </w14:solidFill>
          </w14:textFill>
        </w:rPr>
        <w:t>召开标准立项审查会，</w:t>
      </w:r>
      <w:r>
        <w:rPr>
          <w:rFonts w:ascii="Times New Roman" w:hAnsi="Times New Roman" w:eastAsia="仿宋_GB2312" w:cs="Times New Roman"/>
          <w:color w:val="000000" w:themeColor="text1"/>
          <w:sz w:val="32"/>
          <w:szCs w:val="32"/>
          <w14:textFill>
            <w14:solidFill>
              <w14:schemeClr w14:val="tx1"/>
            </w14:solidFill>
          </w14:textFill>
        </w:rPr>
        <w:t>组织</w:t>
      </w:r>
      <w:r>
        <w:rPr>
          <w:rFonts w:hint="eastAsia" w:ascii="Times New Roman" w:hAnsi="Times New Roman" w:eastAsia="仿宋_GB2312" w:cs="Times New Roman"/>
          <w:color w:val="000000" w:themeColor="text1"/>
          <w:sz w:val="32"/>
          <w:szCs w:val="32"/>
          <w14:textFill>
            <w14:solidFill>
              <w14:schemeClr w14:val="tx1"/>
            </w14:solidFill>
          </w14:textFill>
        </w:rPr>
        <w:t xml:space="preserve">相关领域专家就《粮油作物一次性施肥技术规程 </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第2部分</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水稻</w:t>
      </w:r>
      <w:r>
        <w:rPr>
          <w:rFonts w:hint="eastAsia" w:ascii="Times New Roman" w:hAnsi="Times New Roman" w:eastAsia="仿宋_GB2312" w:cs="Times New Roman"/>
          <w:color w:val="000000" w:themeColor="text1"/>
          <w:sz w:val="32"/>
          <w:szCs w:val="32"/>
          <w14:textFill>
            <w14:solidFill>
              <w14:schemeClr w14:val="tx1"/>
            </w14:solidFill>
          </w14:textFill>
        </w:rPr>
        <w:t>》进行论证，结合专家意见修改完善，形成标准征求意见稿及编制说明。</w:t>
      </w:r>
    </w:p>
    <w:p w14:paraId="49663ADE">
      <w:pPr>
        <w:keepNext w:val="0"/>
        <w:keepLines w:val="0"/>
        <w:pageBreakBefore w:val="0"/>
        <w:kinsoku/>
        <w:wordWrap/>
        <w:overflowPunct/>
        <w:topLinePunct w:val="0"/>
        <w:autoSpaceDE/>
        <w:autoSpaceDN/>
        <w:bidi w:val="0"/>
        <w:spacing w:line="600" w:lineRule="exact"/>
        <w:ind w:firstLine="643" w:firstLineChars="200"/>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pPr>
      <w:r>
        <w:rPr>
          <w:rFonts w:hint="eastAsia" w:ascii="楷体" w:hAnsi="楷体" w:eastAsia="楷体" w:cs="楷体"/>
          <w:b/>
          <w:bCs/>
          <w:sz w:val="32"/>
          <w:szCs w:val="32"/>
        </w:rPr>
        <w:t>（四）组织调研与征求意见。</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9月</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起草组赴部分县（市、区）开展实地调研，通过座谈交流、随机走访等形式，就标准内容的科学性、适用性及可操作性听取基层单位、技术推广人员与种植主体的意见。</w:t>
      </w:r>
    </w:p>
    <w:p w14:paraId="338459F5">
      <w:pPr>
        <w:keepNext w:val="0"/>
        <w:keepLines w:val="0"/>
        <w:pageBreakBefore w:val="0"/>
        <w:kinsoku/>
        <w:wordWrap/>
        <w:overflowPunct/>
        <w:topLinePunct w:val="0"/>
        <w:autoSpaceDE/>
        <w:autoSpaceDN/>
        <w:bidi w:val="0"/>
        <w:spacing w:line="600" w:lineRule="exact"/>
        <w:ind w:firstLine="640" w:firstLineChars="200"/>
        <w:rPr>
          <w:rFonts w:hint="eastAsia" w:ascii="黑体" w:hAnsi="黑体" w:eastAsia="黑体" w:cs="黑体"/>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highlight w:val="none"/>
        </w:rPr>
        <w:t>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完成意见征集与整理工作，共收到反馈意见</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条，采纳</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条</w:t>
      </w:r>
      <w:r>
        <w:rPr>
          <w:rFonts w:hint="eastAsia" w:ascii="仿宋_GB2312" w:hAnsi="仿宋_GB2312" w:eastAsia="仿宋_GB2312" w:cs="仿宋_GB2312"/>
          <w:color w:val="auto"/>
          <w:sz w:val="32"/>
          <w:szCs w:val="32"/>
        </w:rPr>
        <w:t xml:space="preserve">，据此对标准文本与编制说明作进一步修改完善，形成《粮油作物一次性施肥技术规程 </w:t>
      </w:r>
      <w:r>
        <w:rPr>
          <w:rFonts w:hint="eastAsia" w:ascii="仿宋_GB2312" w:hAnsi="仿宋_GB2312" w:eastAsia="仿宋_GB2312" w:cs="仿宋_GB2312"/>
          <w:color w:val="auto"/>
          <w:sz w:val="32"/>
          <w:szCs w:val="32"/>
          <w:lang w:eastAsia="zh-CN"/>
        </w:rPr>
        <w:t>第2部分</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水稻</w:t>
      </w:r>
      <w:r>
        <w:rPr>
          <w:rFonts w:hint="eastAsia" w:ascii="仿宋_GB2312" w:hAnsi="仿宋_GB2312" w:eastAsia="仿宋_GB2312" w:cs="仿宋_GB2312"/>
          <w:color w:val="auto"/>
          <w:sz w:val="32"/>
          <w:szCs w:val="32"/>
        </w:rPr>
        <w:t>》（征求意见稿），确保标准内容符合生产实际、具备指导价值。</w:t>
      </w:r>
    </w:p>
    <w:p w14:paraId="2F5AF260">
      <w:pPr>
        <w:keepNext w:val="0"/>
        <w:keepLines w:val="0"/>
        <w:pageBreakBefore w:val="0"/>
        <w:kinsoku/>
        <w:wordWrap/>
        <w:overflowPunct/>
        <w:topLinePunct w:val="0"/>
        <w:autoSpaceDE/>
        <w:autoSpaceDN/>
        <w:bidi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编制</w:t>
      </w:r>
      <w:r>
        <w:rPr>
          <w:rFonts w:hint="eastAsia" w:ascii="黑体" w:hAnsi="黑体" w:eastAsia="黑体" w:cs="黑体"/>
          <w:sz w:val="32"/>
          <w:szCs w:val="32"/>
        </w:rPr>
        <w:t>原则和依据，与</w:t>
      </w:r>
      <w:r>
        <w:rPr>
          <w:rFonts w:ascii="黑体" w:hAnsi="黑体" w:eastAsia="黑体" w:cs="黑体"/>
          <w:sz w:val="32"/>
          <w:szCs w:val="32"/>
        </w:rPr>
        <w:t>现行法律</w:t>
      </w:r>
      <w:r>
        <w:rPr>
          <w:rFonts w:hint="eastAsia" w:ascii="黑体" w:hAnsi="黑体" w:eastAsia="黑体" w:cs="黑体"/>
          <w:sz w:val="32"/>
          <w:szCs w:val="32"/>
        </w:rPr>
        <w:t>、</w:t>
      </w:r>
      <w:r>
        <w:rPr>
          <w:rFonts w:ascii="黑体" w:hAnsi="黑体" w:eastAsia="黑体" w:cs="黑体"/>
          <w:sz w:val="32"/>
          <w:szCs w:val="32"/>
        </w:rPr>
        <w:t>法规</w:t>
      </w:r>
      <w:r>
        <w:rPr>
          <w:rFonts w:hint="eastAsia" w:ascii="黑体" w:hAnsi="黑体" w:eastAsia="黑体" w:cs="黑体"/>
          <w:sz w:val="32"/>
          <w:szCs w:val="32"/>
        </w:rPr>
        <w:t>、</w:t>
      </w:r>
      <w:r>
        <w:rPr>
          <w:rFonts w:ascii="黑体" w:hAnsi="黑体" w:eastAsia="黑体" w:cs="黑体"/>
          <w:sz w:val="32"/>
          <w:szCs w:val="32"/>
        </w:rPr>
        <w:t>标准的</w:t>
      </w:r>
      <w:r>
        <w:rPr>
          <w:rFonts w:hint="eastAsia" w:ascii="黑体" w:hAnsi="黑体" w:eastAsia="黑体" w:cs="黑体"/>
          <w:sz w:val="32"/>
          <w:szCs w:val="32"/>
        </w:rPr>
        <w:t>关系</w:t>
      </w:r>
    </w:p>
    <w:p w14:paraId="62E40EBD">
      <w:pPr>
        <w:keepNext w:val="0"/>
        <w:keepLines w:val="0"/>
        <w:pageBreakBefore w:val="0"/>
        <w:kinsoku/>
        <w:wordWrap/>
        <w:overflowPunct/>
        <w:topLinePunct w:val="0"/>
        <w:autoSpaceDE/>
        <w:autoSpaceDN/>
        <w:bidi w:val="0"/>
        <w:spacing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w:t>
      </w:r>
      <w:r>
        <w:rPr>
          <w:rFonts w:hint="eastAsia" w:ascii="楷体" w:hAnsi="楷体" w:eastAsia="楷体" w:cs="楷体"/>
          <w:b/>
          <w:bCs/>
          <w:sz w:val="32"/>
          <w:szCs w:val="32"/>
          <w:lang w:eastAsia="zh-CN"/>
        </w:rPr>
        <w:t>编制</w:t>
      </w:r>
      <w:r>
        <w:rPr>
          <w:rFonts w:hint="eastAsia" w:ascii="楷体" w:hAnsi="楷体" w:eastAsia="楷体" w:cs="楷体"/>
          <w:b/>
          <w:bCs/>
          <w:sz w:val="32"/>
          <w:szCs w:val="32"/>
        </w:rPr>
        <w:t>原则</w:t>
      </w:r>
    </w:p>
    <w:p w14:paraId="737D5B55">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遵循“科学性、先进性、合理性、适用性”原则，</w:t>
      </w:r>
      <w:r>
        <w:rPr>
          <w:rFonts w:hint="eastAsia" w:ascii="仿宋_GB2312" w:hAnsi="仿宋_GB2312" w:eastAsia="仿宋_GB2312" w:cs="仿宋_GB2312"/>
          <w:sz w:val="32"/>
          <w:szCs w:val="32"/>
          <w:lang w:val="en-US" w:eastAsia="zh-CN"/>
        </w:rPr>
        <w:t>在广泛调研和听取各方意见的基础上，注重技术内容的准确性、规范性与实用性，确保标准符合宁夏水稻生产实际，能够有效指导一次性施肥技术规模化、标准化应用，为推进化肥减量增效和农业绿色高质量发展提供技术支撑。</w:t>
      </w:r>
    </w:p>
    <w:p w14:paraId="673E3DE1">
      <w:pPr>
        <w:keepNext w:val="0"/>
        <w:keepLines w:val="0"/>
        <w:pageBreakBefore w:val="0"/>
        <w:widowControl/>
        <w:numPr>
          <w:ilvl w:val="0"/>
          <w:numId w:val="0"/>
        </w:numPr>
        <w:suppressLineNumbers w:val="0"/>
        <w:kinsoku/>
        <w:wordWrap/>
        <w:overflowPunct/>
        <w:topLinePunct w:val="0"/>
        <w:autoSpaceDE/>
        <w:autoSpaceDN/>
        <w:bidi w:val="0"/>
        <w:spacing w:line="60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lang w:eastAsia="zh-CN"/>
        </w:rPr>
        <w:t>（二）编制</w:t>
      </w:r>
      <w:r>
        <w:rPr>
          <w:rFonts w:hint="eastAsia" w:ascii="楷体" w:hAnsi="楷体" w:eastAsia="楷体" w:cs="楷体"/>
          <w:b/>
          <w:bCs/>
          <w:sz w:val="32"/>
          <w:szCs w:val="32"/>
        </w:rPr>
        <w:t>依据</w:t>
      </w:r>
    </w:p>
    <w:p w14:paraId="2EF53B9A">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1.任务依据。根据自治区市场监管厅《关于征集2025年宁夏地方标准立项计划的通知》《关于下达2025年宁夏地方标准制（修）订计划的通知》要求开展本标准编制工作。</w:t>
      </w:r>
    </w:p>
    <w:p w14:paraId="75CCCCFA">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2.格式依据。本标准的结构与编写严格遵循《中华人民共和国标准化法》《宁夏回族自治区地方标准管理办法》及《标准化工作导则 第1部分：标准的结构和编写》（GB/T 1.1-2020）的规定。</w:t>
      </w:r>
    </w:p>
    <w:p w14:paraId="55B7BAF0">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技术依据。以宁夏农业技术推广总站及相关单位在主要粮食作物上开展的测土配方施肥、化肥减量增效及一次性施肥等试验研究与示范成果为基础，结合国内外相关技术进展与实践经验，提出本标准的技术条款。</w:t>
      </w:r>
    </w:p>
    <w:p w14:paraId="2019B142">
      <w:pPr>
        <w:keepNext w:val="0"/>
        <w:keepLines w:val="0"/>
        <w:pageBreakBefore w:val="0"/>
        <w:kinsoku/>
        <w:wordWrap/>
        <w:overflowPunct/>
        <w:topLinePunct w:val="0"/>
        <w:autoSpaceDE/>
        <w:autoSpaceDN/>
        <w:bidi w:val="0"/>
        <w:spacing w:line="60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（三）与现行法律法规、标准的关系</w:t>
      </w:r>
    </w:p>
    <w:p w14:paraId="79F2594E">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内容符合国家及地方有关农业资源保护、耕地质量提升、农业面源污染防治等相关法律法规与政策要求，与现行有效的国家、行业及地方相关标准协调一致，不存在冲突。本标准的制订旨在细化、补充和完善水稻一次性施肥方面的技术要求，与现有标准体系衔接配套，共同推动农业技术标准化和绿色可持续发展。</w:t>
      </w:r>
    </w:p>
    <w:p w14:paraId="13B228D1">
      <w:pPr>
        <w:keepNext w:val="0"/>
        <w:keepLines w:val="0"/>
        <w:pageBreakBefore w:val="0"/>
        <w:kinsoku/>
        <w:wordWrap/>
        <w:overflowPunct/>
        <w:topLinePunct w:val="0"/>
        <w:autoSpaceDE/>
        <w:autoSpaceDN/>
        <w:bidi w:val="0"/>
        <w:spacing w:line="600" w:lineRule="exact"/>
        <w:ind w:firstLine="640"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ascii="黑体" w:hAnsi="黑体" w:eastAsia="黑体" w:cs="黑体"/>
          <w:snapToGrid w:val="0"/>
          <w:color w:val="000000" w:themeColor="text1"/>
          <w:kern w:val="0"/>
          <w:sz w:val="32"/>
          <w:szCs w:val="32"/>
          <w14:textFill>
            <w14:solidFill>
              <w14:schemeClr w14:val="tx1"/>
            </w14:solidFill>
          </w14:textFill>
        </w:rPr>
        <w:t>主要条款的说明</w:t>
      </w:r>
      <w:r>
        <w:rPr>
          <w:rFonts w:hint="eastAsia" w:ascii="黑体" w:hAnsi="黑体" w:eastAsia="黑体" w:cs="黑体"/>
          <w:snapToGrid w:val="0"/>
          <w:color w:val="000000" w:themeColor="text1"/>
          <w:kern w:val="0"/>
          <w:sz w:val="32"/>
          <w:szCs w:val="32"/>
          <w14:textFill>
            <w14:solidFill>
              <w14:schemeClr w14:val="tx1"/>
            </w14:solidFill>
          </w14:textFill>
        </w:rPr>
        <w:t>，主要</w:t>
      </w:r>
      <w:r>
        <w:rPr>
          <w:rFonts w:ascii="黑体" w:hAnsi="黑体" w:eastAsia="黑体" w:cs="黑体"/>
          <w:snapToGrid w:val="0"/>
          <w:color w:val="000000" w:themeColor="text1"/>
          <w:kern w:val="0"/>
          <w:sz w:val="32"/>
          <w:szCs w:val="32"/>
          <w14:textFill>
            <w14:solidFill>
              <w14:schemeClr w14:val="tx1"/>
            </w14:solidFill>
          </w14:textFill>
        </w:rPr>
        <w:t>技术指标、参数、实验验证的</w:t>
      </w:r>
      <w:r>
        <w:rPr>
          <w:rFonts w:hint="eastAsia" w:ascii="黑体" w:hAnsi="黑体" w:eastAsia="黑体" w:cs="黑体"/>
          <w:snapToGrid w:val="0"/>
          <w:color w:val="000000" w:themeColor="text1"/>
          <w:kern w:val="0"/>
          <w:sz w:val="32"/>
          <w:szCs w:val="32"/>
          <w14:textFill>
            <w14:solidFill>
              <w14:schemeClr w14:val="tx1"/>
            </w14:solidFill>
          </w14:textFill>
        </w:rPr>
        <w:t>论述</w:t>
      </w:r>
    </w:p>
    <w:p w14:paraId="0945A80F">
      <w:pPr>
        <w:keepNext w:val="0"/>
        <w:keepLines w:val="0"/>
        <w:pageBreakBefore w:val="0"/>
        <w:kinsoku/>
        <w:wordWrap/>
        <w:overflowPunct/>
        <w:topLinePunct w:val="0"/>
        <w:autoSpaceDE/>
        <w:autoSpaceDN/>
        <w:bidi w:val="0"/>
        <w:spacing w:line="600" w:lineRule="exact"/>
        <w:ind w:firstLine="643" w:firstLineChars="200"/>
        <w:rPr>
          <w:rFonts w:ascii="楷体_GB2312" w:hAnsi="仿宋_GB2312" w:eastAsia="楷体_GB2312" w:cs="仿宋_GB2312"/>
          <w:b/>
          <w:bCs/>
          <w:snapToGrid w:val="0"/>
          <w:color w:val="000000" w:themeColor="text1"/>
          <w:kern w:val="0"/>
          <w:sz w:val="32"/>
          <w:szCs w:val="32"/>
          <w14:textFill>
            <w14:solidFill>
              <w14:schemeClr w14:val="tx1"/>
            </w14:solidFill>
          </w14:textFill>
        </w:rPr>
      </w:pP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（一）主要</w:t>
      </w:r>
      <w:r>
        <w:rPr>
          <w:rFonts w:hint="eastAsia" w:ascii="楷体_GB2312" w:hAnsi="仿宋_GB2312" w:eastAsia="楷体_GB2312" w:cs="仿宋_GB2312"/>
          <w:b/>
          <w:bCs/>
          <w:snapToGrid w:val="0"/>
          <w:color w:val="000000" w:themeColor="text1"/>
          <w:kern w:val="0"/>
          <w:sz w:val="32"/>
          <w:szCs w:val="32"/>
          <w:lang w:eastAsia="zh-CN"/>
          <w14:textFill>
            <w14:solidFill>
              <w14:schemeClr w14:val="tx1"/>
            </w14:solidFill>
          </w14:textFill>
        </w:rPr>
        <w:t>技术</w:t>
      </w: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条款</w:t>
      </w:r>
      <w:r>
        <w:rPr>
          <w:rFonts w:ascii="楷体_GB2312" w:hAnsi="仿宋_GB2312" w:eastAsia="楷体_GB2312" w:cs="仿宋_GB2312"/>
          <w:b/>
          <w:bCs/>
          <w:snapToGrid w:val="0"/>
          <w:color w:val="000000" w:themeColor="text1"/>
          <w:kern w:val="0"/>
          <w:sz w:val="32"/>
          <w:szCs w:val="32"/>
          <w14:textFill>
            <w14:solidFill>
              <w14:schemeClr w14:val="tx1"/>
            </w14:solidFill>
          </w14:textFill>
        </w:rPr>
        <w:t>说明</w:t>
      </w:r>
    </w:p>
    <w:p w14:paraId="579F77DC">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本标准围绕水稻一次性施肥技术，主要从肥料选择、施肥量、施肥方法等维度构建技术体系。</w:t>
      </w:r>
    </w:p>
    <w:p w14:paraId="5BC50CC0">
      <w:pPr>
        <w:keepNext w:val="0"/>
        <w:keepLines w:val="0"/>
        <w:pageBreakBefore w:val="0"/>
        <w:kinsoku/>
        <w:wordWrap/>
        <w:overflowPunct/>
        <w:topLinePunct w:val="0"/>
        <w:autoSpaceDE/>
        <w:autoSpaceDN/>
        <w:bidi w:val="0"/>
        <w:spacing w:line="60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 总体编制思路</w:t>
      </w:r>
    </w:p>
    <w:p w14:paraId="12A7E701">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本标准的“施肥量与施肥方法”（对应标准正文第5章）是核心技术章节。其编制严格遵循“</w:t>
      </w:r>
      <w:r>
        <w:rPr>
          <w:rFonts w:hint="default" w:ascii="仿宋_GB2312" w:hAnsi="仿宋_GB2312" w:eastAsia="仿宋_GB2312" w:cs="仿宋_GB2312"/>
          <w:sz w:val="32"/>
          <w:szCs w:val="32"/>
          <w:lang w:val="en-US" w:eastAsia="zh-CN"/>
        </w:rPr>
        <w:t>以地定产、以产定肥、缓控结合、一次施用”的原则，</w:t>
      </w:r>
      <w:r>
        <w:rPr>
          <w:rFonts w:hint="eastAsia" w:ascii="仿宋_GB2312" w:hAnsi="仿宋_GB2312" w:eastAsia="仿宋_GB2312" w:cs="仿宋_GB2312"/>
          <w:sz w:val="32"/>
          <w:szCs w:val="32"/>
          <w:lang w:val="en-US" w:eastAsia="zh-CN"/>
        </w:rPr>
        <w:t>旨在将复杂的测土配方施肥技术物化为简便易行的“</w:t>
      </w:r>
      <w:r>
        <w:rPr>
          <w:rFonts w:hint="default" w:ascii="仿宋_GB2312" w:hAnsi="仿宋_GB2312" w:eastAsia="仿宋_GB2312" w:cs="仿宋_GB2312"/>
          <w:sz w:val="32"/>
          <w:szCs w:val="32"/>
          <w:lang w:val="en-US" w:eastAsia="zh-CN"/>
        </w:rPr>
        <w:t>一袋肥、一次施”模式，确保养分供应与</w:t>
      </w:r>
      <w:r>
        <w:rPr>
          <w:rFonts w:hint="eastAsia" w:ascii="仿宋_GB2312" w:hAnsi="仿宋_GB2312" w:eastAsia="仿宋_GB2312" w:cs="仿宋_GB2312"/>
          <w:sz w:val="32"/>
          <w:szCs w:val="32"/>
          <w:lang w:val="en-US" w:eastAsia="zh-CN"/>
        </w:rPr>
        <w:t>水稻</w:t>
      </w:r>
      <w:r>
        <w:rPr>
          <w:rFonts w:hint="default" w:ascii="仿宋_GB2312" w:hAnsi="仿宋_GB2312" w:eastAsia="仿宋_GB2312" w:cs="仿宋_GB2312"/>
          <w:sz w:val="32"/>
          <w:szCs w:val="32"/>
          <w:lang w:val="en-US" w:eastAsia="zh-CN"/>
        </w:rPr>
        <w:t>全生育期需求同步。</w:t>
      </w:r>
    </w:p>
    <w:p w14:paraId="1FA81A77">
      <w:pPr>
        <w:keepNext w:val="0"/>
        <w:keepLines w:val="0"/>
        <w:pageBreakBefore w:val="0"/>
        <w:numPr>
          <w:ilvl w:val="0"/>
          <w:numId w:val="0"/>
        </w:numPr>
        <w:kinsoku/>
        <w:wordWrap/>
        <w:overflowPunct/>
        <w:topLinePunct w:val="0"/>
        <w:autoSpaceDE/>
        <w:autoSpaceDN/>
        <w:bidi w:val="0"/>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2.核心条款说明</w:t>
      </w:r>
    </w:p>
    <w:p w14:paraId="684CCA99">
      <w:pPr>
        <w:keepNext w:val="0"/>
        <w:keepLines w:val="0"/>
        <w:pageBreakBefore w:val="0"/>
        <w:numPr>
          <w:ilvl w:val="0"/>
          <w:numId w:val="0"/>
        </w:numPr>
        <w:kinsoku/>
        <w:wordWrap/>
        <w:overflowPunct/>
        <w:topLinePunct w:val="0"/>
        <w:autoSpaceDE/>
        <w:autoSpaceDN/>
        <w:bidi w:val="0"/>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（1）肥料选择</w:t>
      </w:r>
    </w:p>
    <w:p w14:paraId="3C50F489">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本标准明确规定选用缓释肥符合国家或行业标准（GB/T 23348、NY/T 2267、GB21633）的水稻专用缓释型掺混肥。肥料要求上氮素释放期需满足水稻全生育期养分需求，磷、钾及中微量元素配比应符合当地土壤养分状况和作物需肥规律，肥料产品核心是不同释放期缓释尿素+磷钾配伍，一次施用满足全生育期需求。</w:t>
      </w:r>
    </w:p>
    <w:p w14:paraId="7C1CA456">
      <w:pPr>
        <w:keepNext w:val="0"/>
        <w:keepLines w:val="0"/>
        <w:pageBreakBefore w:val="0"/>
        <w:kinsoku/>
        <w:wordWrap/>
        <w:overflowPunct/>
        <w:topLinePunct w:val="0"/>
        <w:autoSpaceDE/>
        <w:autoSpaceDN/>
        <w:bidi w:val="0"/>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（2）施肥量</w:t>
      </w:r>
    </w:p>
    <w:p w14:paraId="5D0CA44B">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施肥量的确定是本标准精准化的关键。根据土壤肥力水平、目标产量和水稻生长发育对养分的需求规律，基于测土配方施肥海量数据，构建了分区域、分产量水平的推荐施肥量模型。旨在实现“</w:t>
      </w:r>
      <w:r>
        <w:rPr>
          <w:rFonts w:hint="default" w:ascii="仿宋_GB2312" w:hAnsi="仿宋_GB2312" w:eastAsia="仿宋_GB2312" w:cs="仿宋_GB2312"/>
          <w:sz w:val="32"/>
          <w:szCs w:val="32"/>
          <w:lang w:val="en-US" w:eastAsia="zh-CN"/>
        </w:rPr>
        <w:t>以产定量、精准减量”，在保障作物养分需求的同时，提高肥料利用率，减少不合理投入。</w:t>
      </w:r>
    </w:p>
    <w:p w14:paraId="291A2A57">
      <w:pPr>
        <w:keepNext w:val="0"/>
        <w:keepLines w:val="0"/>
        <w:pageBreakBefore w:val="0"/>
        <w:kinsoku/>
        <w:wordWrap/>
        <w:overflowPunct/>
        <w:topLinePunct w:val="0"/>
        <w:autoSpaceDE/>
        <w:autoSpaceDN/>
        <w:bidi w:val="0"/>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（3）施肥方法</w:t>
      </w:r>
    </w:p>
    <w:p w14:paraId="2EEA20F5">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明确要求采用机械深施。主要方式为</w:t>
      </w:r>
      <w:r>
        <w:rPr>
          <w:rFonts w:hint="default" w:ascii="仿宋_GB2312" w:hAnsi="仿宋_GB2312" w:eastAsia="仿宋_GB2312" w:cs="仿宋_GB2312"/>
          <w:sz w:val="32"/>
          <w:szCs w:val="32"/>
          <w:lang w:val="en-US" w:eastAsia="zh-CN"/>
        </w:rPr>
        <w:t>基肥深施或种肥</w:t>
      </w:r>
      <w:r>
        <w:rPr>
          <w:rFonts w:hint="eastAsia" w:ascii="仿宋_GB2312" w:hAnsi="仿宋_GB2312" w:eastAsia="仿宋_GB2312" w:cs="仿宋_GB2312"/>
          <w:sz w:val="32"/>
          <w:szCs w:val="32"/>
          <w:lang w:val="en-US" w:eastAsia="zh-CN"/>
        </w:rPr>
        <w:t>侧深施肥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关键技术参数包括：施肥深度8 cm～10cm；采用种肥同播时，肥料与种子需保持6 cm～8 cm的水平或垂直安全间隔。这些规定旨在确保肥料施用于根系活跃层，同时有效防止烧种烧苗，保障出苗安全与早期养分供应。</w:t>
      </w:r>
    </w:p>
    <w:p w14:paraId="21D5C906">
      <w:pPr>
        <w:keepNext w:val="0"/>
        <w:keepLines w:val="0"/>
        <w:pageBreakBefore w:val="0"/>
        <w:numPr>
          <w:ilvl w:val="0"/>
          <w:numId w:val="0"/>
        </w:numPr>
        <w:kinsoku/>
        <w:wordWrap/>
        <w:overflowPunct/>
        <w:topLinePunct w:val="0"/>
        <w:autoSpaceDE/>
        <w:autoSpaceDN/>
        <w:bidi w:val="0"/>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（4）施肥时期</w:t>
      </w:r>
    </w:p>
    <w:p w14:paraId="7E785E1B">
      <w:pPr>
        <w:keepNext w:val="0"/>
        <w:keepLines w:val="0"/>
        <w:pageBreakBefore w:val="0"/>
        <w:kinsoku/>
        <w:wordWrap/>
        <w:overflowPunct/>
        <w:topLinePunct w:val="0"/>
        <w:autoSpaceDE/>
        <w:autoSpaceDN/>
        <w:bidi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规定所有肥料应在</w:t>
      </w:r>
      <w:r>
        <w:rPr>
          <w:rFonts w:hint="default" w:ascii="仿宋_GB2312" w:hAnsi="仿宋_GB2312" w:eastAsia="仿宋_GB2312" w:cs="仿宋_GB2312"/>
          <w:sz w:val="32"/>
          <w:szCs w:val="32"/>
          <w:lang w:val="en-US" w:eastAsia="zh-CN"/>
        </w:rPr>
        <w:t>播种前整地时或播种时一次性施入，全生育期内不再进行追肥。此举极大地简化了田间作业环节，有效降低了劳动强度和人工成本，适应了规模化生产的需求。</w:t>
      </w:r>
    </w:p>
    <w:p w14:paraId="06BE395E">
      <w:pPr>
        <w:keepNext w:val="0"/>
        <w:keepLines w:val="0"/>
        <w:pageBreakBefore w:val="0"/>
        <w:kinsoku/>
        <w:wordWrap/>
        <w:overflowPunct/>
        <w:topLinePunct w:val="0"/>
        <w:autoSpaceDE/>
        <w:autoSpaceDN/>
        <w:bidi w:val="0"/>
        <w:spacing w:line="600" w:lineRule="exact"/>
        <w:ind w:firstLine="643" w:firstLineChars="200"/>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pP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（二）主要技术指标、参数、试验验证的论述</w:t>
      </w:r>
    </w:p>
    <w:p w14:paraId="64F69752">
      <w:pPr>
        <w:pStyle w:val="19"/>
        <w:keepNext w:val="0"/>
        <w:keepLines w:val="0"/>
        <w:pageBreakBefore w:val="0"/>
        <w:kinsoku/>
        <w:wordWrap/>
        <w:overflowPunct/>
        <w:topLinePunct w:val="0"/>
        <w:autoSpaceDE/>
        <w:autoSpaceDN/>
        <w:bidi w:val="0"/>
        <w:spacing w:before="156" w:after="156" w:line="600" w:lineRule="exact"/>
        <w:ind w:firstLine="643" w:firstLineChars="200"/>
        <w:rPr>
          <w:rFonts w:hint="eastAsia" w:asci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1.主要技术指标的确定理论依据。</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施肥量</w:t>
      </w:r>
      <w:r>
        <w:rPr>
          <w:rFonts w:hint="eastAsia" w:ascii="Times New Roman" w:eastAsia="仿宋_GB2312" w:cs="仿宋_GB2312"/>
          <w:color w:val="000000" w:themeColor="text1"/>
          <w:sz w:val="32"/>
          <w:szCs w:val="32"/>
          <w:lang w:val="en-US" w:eastAsia="zh-CN"/>
          <w14:textFill>
            <w14:solidFill>
              <w14:schemeClr w14:val="tx1"/>
            </w14:solidFill>
          </w14:textFill>
        </w:rPr>
        <w:t>指标</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的确定</w:t>
      </w:r>
      <w:r>
        <w:rPr>
          <w:rFonts w:hint="eastAsia" w:ascii="Times New Roman" w:eastAsia="仿宋_GB2312" w:cs="仿宋_GB2312"/>
          <w:color w:val="000000" w:themeColor="text1"/>
          <w:sz w:val="32"/>
          <w:szCs w:val="32"/>
          <w:lang w:val="en-US" w:eastAsia="zh-CN"/>
          <w14:textFill>
            <w14:solidFill>
              <w14:schemeClr w14:val="tx1"/>
            </w14:solidFill>
          </w14:textFill>
        </w:rPr>
        <w:t>，综合应用了</w:t>
      </w:r>
      <w:r>
        <w:rPr>
          <w:rFonts w:hint="eastAsia" w:ascii="Times New Roman" w:hAnsi="Times New Roman" w:eastAsia="仿宋_GB2312" w:cs="仿宋_GB2312"/>
          <w:color w:val="000000" w:themeColor="text1"/>
          <w:sz w:val="32"/>
          <w:szCs w:val="32"/>
          <w14:textFill>
            <w14:solidFill>
              <w14:schemeClr w14:val="tx1"/>
            </w14:solidFill>
          </w14:textFill>
        </w:rPr>
        <w:t>“作物-肥料-土壤”</w:t>
      </w:r>
      <w:r>
        <w:rPr>
          <w:rFonts w:hint="eastAsia" w:ascii="Times New Roman" w:eastAsia="仿宋_GB2312" w:cs="仿宋_GB2312"/>
          <w:color w:val="000000" w:themeColor="text1"/>
          <w:sz w:val="32"/>
          <w:szCs w:val="32"/>
          <w:lang w:val="en-US" w:eastAsia="zh-CN"/>
          <w14:textFill>
            <w14:solidFill>
              <w14:schemeClr w14:val="tx1"/>
            </w14:solidFill>
          </w14:textFill>
        </w:rPr>
        <w:t>系统</w:t>
      </w:r>
      <w:r>
        <w:rPr>
          <w:rFonts w:hint="eastAsia" w:ascii="Times New Roman" w:hAnsi="Times New Roman" w:eastAsia="仿宋_GB2312" w:cs="仿宋_GB2312"/>
          <w:color w:val="000000" w:themeColor="text1"/>
          <w:sz w:val="32"/>
          <w:szCs w:val="32"/>
          <w14:textFill>
            <w14:solidFill>
              <w14:schemeClr w14:val="tx1"/>
            </w14:solidFill>
          </w14:textFill>
        </w:rPr>
        <w:t>养分平衡理论、农作物施肥模型</w:t>
      </w:r>
      <w:r>
        <w:rPr>
          <w:rFonts w:hint="eastAsia" w:ascii="Times New Roman" w:eastAsia="仿宋_GB2312" w:cs="仿宋_GB2312"/>
          <w:color w:val="000000" w:themeColor="text1"/>
          <w:sz w:val="32"/>
          <w:szCs w:val="32"/>
          <w:lang w:val="en-US" w:eastAsia="zh-CN"/>
          <w14:textFill>
            <w14:solidFill>
              <w14:schemeClr w14:val="tx1"/>
            </w14:solidFill>
          </w14:textFill>
        </w:rPr>
        <w:t>及</w:t>
      </w:r>
      <w:r>
        <w:rPr>
          <w:rFonts w:hint="eastAsia" w:ascii="Times New Roman" w:hAnsi="Times New Roman" w:eastAsia="仿宋_GB2312" w:cs="仿宋_GB2312"/>
          <w:color w:val="000000" w:themeColor="text1"/>
          <w:sz w:val="32"/>
          <w:szCs w:val="32"/>
          <w14:textFill>
            <w14:solidFill>
              <w14:schemeClr w14:val="tx1"/>
            </w14:solidFill>
          </w14:textFill>
        </w:rPr>
        <w:t>测土配方施肥大数据</w:t>
      </w:r>
      <w:r>
        <w:rPr>
          <w:rFonts w:hint="eastAsia" w:ascii="Times New Roman" w:eastAsia="仿宋_GB2312" w:cs="仿宋_GB2312"/>
          <w:color w:val="000000" w:themeColor="text1"/>
          <w:sz w:val="32"/>
          <w:szCs w:val="32"/>
          <w:lang w:eastAsia="zh-CN"/>
          <w14:textFill>
            <w14:solidFill>
              <w14:schemeClr w14:val="tx1"/>
            </w14:solidFill>
          </w14:textFill>
        </w:rPr>
        <w:t>。</w:t>
      </w:r>
      <w:r>
        <w:rPr>
          <w:rFonts w:hint="eastAsia" w:ascii="Times New Roman" w:eastAsia="仿宋_GB2312" w:cs="仿宋_GB2312"/>
          <w:color w:val="000000" w:themeColor="text1"/>
          <w:sz w:val="32"/>
          <w:szCs w:val="32"/>
          <w:lang w:val="en-US" w:eastAsia="zh-CN"/>
          <w14:textFill>
            <w14:solidFill>
              <w14:schemeClr w14:val="tx1"/>
            </w14:solidFill>
          </w14:textFill>
        </w:rPr>
        <w:t>核心技术路径如下：</w:t>
      </w:r>
    </w:p>
    <w:p w14:paraId="17F990EA">
      <w:pPr>
        <w:pStyle w:val="19"/>
        <w:keepNext w:val="0"/>
        <w:keepLines w:val="0"/>
        <w:pageBreakBefore w:val="0"/>
        <w:kinsoku/>
        <w:wordWrap/>
        <w:overflowPunct/>
        <w:topLinePunct w:val="0"/>
        <w:autoSpaceDE/>
        <w:autoSpaceDN/>
        <w:bidi w:val="0"/>
        <w:spacing w:before="156" w:after="156" w:line="600" w:lineRule="exact"/>
        <w:ind w:firstLine="643" w:firstLineChars="200"/>
        <w:rPr>
          <w:rFonts w:hint="eastAsia" w:asci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14:textFill>
            <w14:solidFill>
              <w14:schemeClr w14:val="tx1"/>
            </w14:solidFill>
          </w14:textFill>
        </w:rPr>
        <w:t>模型构建</w:t>
      </w:r>
      <w:r>
        <w:rPr>
          <w:rFonts w:hint="default" w:ascii="Times New Roman" w:hAnsi="Times New Roman" w:eastAsia="仿宋_GB2312" w:cs="仿宋_GB2312"/>
          <w:b/>
          <w:bCs/>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根据</w:t>
      </w:r>
      <w:r>
        <w:rPr>
          <w:rFonts w:hint="eastAsia" w:ascii="Times New Roman" w:eastAsia="仿宋_GB2312" w:cs="仿宋_GB2312"/>
          <w:color w:val="000000" w:themeColor="text1"/>
          <w:sz w:val="32"/>
          <w:szCs w:val="32"/>
          <w:lang w:val="en-US" w:eastAsia="zh-CN"/>
          <w14:textFill>
            <w14:solidFill>
              <w14:schemeClr w14:val="tx1"/>
            </w14:solidFill>
          </w14:textFill>
        </w:rPr>
        <w:t>水稻</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养分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需肥</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规律、</w:t>
      </w:r>
      <w:r>
        <w:rPr>
          <w:rFonts w:hint="eastAsia" w:ascii="Times New Roman" w:hAnsi="Times New Roman" w:eastAsia="仿宋_GB2312" w:cs="仿宋_GB2312"/>
          <w:color w:val="000000" w:themeColor="text1"/>
          <w:sz w:val="32"/>
          <w:szCs w:val="32"/>
          <w14:textFill>
            <w14:solidFill>
              <w14:schemeClr w14:val="tx1"/>
            </w14:solidFill>
          </w14:textFill>
        </w:rPr>
        <w:t>土壤供肥特性及控释肥料氮素释放特征，构建了施肥决策模型。</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其中，氮肥施用量采用目标产量平衡系数法,</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函数</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模型为</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：y=Axaebx</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zh-CN"/>
          <w14:textFill>
            <w14:solidFill>
              <w14:schemeClr w14:val="tx1"/>
            </w14:solidFill>
          </w14:textFill>
        </w:rPr>
        <w:t>磷钾肥施用量采用丰缺指标函数法，</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模型为</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：y=[A+Bln(xi)]*axb</w:t>
      </w:r>
      <w:r>
        <w:rPr>
          <w:rFonts w:hint="eastAsia" w:ascii="Times New Roman" w:eastAsia="仿宋_GB2312" w:cs="仿宋_GB2312"/>
          <w:color w:val="000000" w:themeColor="text1"/>
          <w:sz w:val="32"/>
          <w:szCs w:val="32"/>
          <w:lang w:val="zh-CN" w:eastAsia="zh-CN"/>
          <w14:textFill>
            <w14:solidFill>
              <w14:schemeClr w14:val="tx1"/>
            </w14:solidFill>
          </w14:textFill>
        </w:rPr>
        <w:t>。</w:t>
      </w:r>
      <w:r>
        <w:rPr>
          <w:rFonts w:hint="eastAsia" w:ascii="Times New Roman" w:eastAsia="仿宋_GB2312" w:cs="仿宋_GB2312"/>
          <w:color w:val="000000" w:themeColor="text1"/>
          <w:sz w:val="32"/>
          <w:szCs w:val="32"/>
          <w:lang w:val="en-US" w:eastAsia="zh-CN"/>
          <w14:textFill>
            <w14:solidFill>
              <w14:schemeClr w14:val="tx1"/>
            </w14:solidFill>
          </w14:textFill>
        </w:rPr>
        <w:t xml:space="preserve">  </w:t>
      </w:r>
    </w:p>
    <w:p w14:paraId="18F749B8">
      <w:pPr>
        <w:pStyle w:val="19"/>
        <w:keepNext w:val="0"/>
        <w:keepLines w:val="0"/>
        <w:pageBreakBefore w:val="0"/>
        <w:kinsoku/>
        <w:wordWrap/>
        <w:overflowPunct/>
        <w:topLinePunct w:val="0"/>
        <w:autoSpaceDE/>
        <w:autoSpaceDN/>
        <w:bidi w:val="0"/>
        <w:spacing w:beforeLines="0" w:beforeAutospacing="0" w:afterLines="0" w:afterAutospacing="0" w:line="600" w:lineRule="exact"/>
        <w:ind w:firstLine="643" w:firstLineChars="200"/>
        <w:textAlignment w:val="auto"/>
        <w:rPr>
          <w:rFonts w:hint="eastAsia" w:ascii="Times New Roman" w:hAnsi="Times New Roman" w:eastAsia="仿宋_GB2312" w:cs="仿宋_GB2312"/>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参数本地化：</w:t>
      </w:r>
      <w:r>
        <w:rPr>
          <w:rFonts w:hint="eastAsia" w:ascii="Times New Roman" w:hAnsi="Times New Roman" w:eastAsia="仿宋_GB2312" w:cs="仿宋_GB2312"/>
          <w:color w:val="000000" w:themeColor="text1"/>
          <w:sz w:val="32"/>
          <w:szCs w:val="32"/>
          <w14:textFill>
            <w14:solidFill>
              <w14:schemeClr w14:val="tx1"/>
            </w14:solidFill>
          </w14:textFill>
        </w:rPr>
        <w:t>基于宁夏多年土壤</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化验测试</w:t>
      </w:r>
      <w:r>
        <w:rPr>
          <w:rFonts w:hint="eastAsia" w:ascii="Times New Roman" w:hAnsi="Times New Roman" w:eastAsia="仿宋_GB2312" w:cs="仿宋_GB2312"/>
          <w:color w:val="000000" w:themeColor="text1"/>
          <w:sz w:val="32"/>
          <w:szCs w:val="32"/>
          <w14:textFill>
            <w14:solidFill>
              <w14:schemeClr w14:val="tx1"/>
            </w14:solidFill>
          </w14:textFill>
        </w:rPr>
        <w:t>数据</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全区土壤有机质含量平均为13.5mg/kg，属于中等偏下水平，故在施肥方案中首要提出有机肥施用推荐。</w:t>
      </w:r>
      <w:r>
        <w:rPr>
          <w:rFonts w:hint="eastAsia" w:ascii="Times New Roman" w:hAnsi="Times New Roman" w:eastAsia="仿宋_GB2312" w:cs="仿宋_GB2312"/>
          <w:color w:val="000000" w:themeColor="text1"/>
          <w:sz w:val="32"/>
          <w:szCs w:val="32"/>
          <w14:textFill>
            <w14:solidFill>
              <w14:schemeClr w14:val="tx1"/>
            </w14:solidFill>
          </w14:textFill>
        </w:rPr>
        <w:t>引黄灌区土壤普遍缺氮少磷</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全氮含量平均0934 g/kg，有效磷含量为26.7mg/kg）</w:t>
      </w:r>
      <w:r>
        <w:rPr>
          <w:rFonts w:hint="eastAsia" w:ascii="Times New Roman" w:hAnsi="Times New Roman" w:eastAsia="仿宋_GB2312" w:cs="仿宋_GB2312"/>
          <w:color w:val="000000" w:themeColor="text1"/>
          <w:sz w:val="32"/>
          <w:szCs w:val="32"/>
          <w14:textFill>
            <w14:solidFill>
              <w14:schemeClr w14:val="tx1"/>
            </w14:solidFill>
          </w14:textFill>
        </w:rPr>
        <w:t>；宁南山区氮磷俱缺</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全氮含量0.956g/kg，有效磷含量为14.0mg/kg）。</w:t>
      </w:r>
      <w:r>
        <w:rPr>
          <w:rFonts w:hint="eastAsia" w:ascii="Times New Roman" w:hAnsi="Times New Roman" w:eastAsia="仿宋_GB2312" w:cs="仿宋_GB2312"/>
          <w:color w:val="000000" w:themeColor="text1"/>
          <w:sz w:val="32"/>
          <w:szCs w:val="32"/>
          <w14:textFill>
            <w14:solidFill>
              <w14:schemeClr w14:val="tx1"/>
            </w14:solidFill>
          </w14:textFill>
        </w:rPr>
        <w:t>不同生态区气候特点，对模型参数进行本地化校准</w:t>
      </w:r>
      <w:r>
        <w:rPr>
          <w:rFonts w:hint="eastAsia" w:ascii="Times New Roman" w:eastAsia="仿宋_GB2312" w:cs="仿宋_GB2312"/>
          <w:color w:val="000000" w:themeColor="text1"/>
          <w:sz w:val="32"/>
          <w:szCs w:val="32"/>
          <w:lang w:eastAsia="zh-CN"/>
          <w14:textFill>
            <w14:solidFill>
              <w14:schemeClr w14:val="tx1"/>
            </w14:solidFill>
          </w14:textFill>
        </w:rPr>
        <w:t>。</w:t>
      </w:r>
    </w:p>
    <w:p w14:paraId="0B7ECD8E">
      <w:pPr>
        <w:pStyle w:val="19"/>
        <w:keepNext w:val="0"/>
        <w:keepLines w:val="0"/>
        <w:pageBreakBefore w:val="0"/>
        <w:kinsoku/>
        <w:wordWrap/>
        <w:overflowPunct/>
        <w:topLinePunct w:val="0"/>
        <w:autoSpaceDE/>
        <w:autoSpaceDN/>
        <w:bidi w:val="0"/>
        <w:spacing w:beforeLines="0" w:beforeAutospacing="0" w:afterLines="0" w:afterAutospacing="0" w:line="600" w:lineRule="exact"/>
        <w:ind w:firstLine="643" w:firstLineChars="200"/>
        <w:textAlignment w:val="auto"/>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配方用量的确定：</w:t>
      </w:r>
      <w:r>
        <w:rPr>
          <w:rFonts w:hint="eastAsia" w:ascii="Times New Roman" w:hAnsi="Times New Roman" w:eastAsia="仿宋_GB2312" w:cs="仿宋_GB2312"/>
          <w:color w:val="000000" w:themeColor="text1"/>
          <w:sz w:val="32"/>
          <w:szCs w:val="32"/>
          <w14:textFill>
            <w14:solidFill>
              <w14:schemeClr w14:val="tx1"/>
            </w14:solidFill>
          </w14:textFill>
        </w:rPr>
        <w:t>以上述模型和本地化数据为基础，确定了两</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种栽培模式下</w:t>
      </w:r>
      <w:r>
        <w:rPr>
          <w:rFonts w:hint="eastAsia" w:ascii="Times New Roman" w:hAnsi="Times New Roman" w:eastAsia="仿宋_GB2312" w:cs="仿宋_GB2312"/>
          <w:color w:val="000000" w:themeColor="text1"/>
          <w:sz w:val="32"/>
          <w:szCs w:val="32"/>
          <w14:textFill>
            <w14:solidFill>
              <w14:schemeClr w14:val="tx1"/>
            </w14:solidFill>
          </w14:textFill>
        </w:rPr>
        <w:t>的主导配方：</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插秧水稻</w:t>
      </w:r>
      <w:r>
        <w:rPr>
          <w:rFonts w:hint="default" w:ascii="Times New Roman" w:hAnsi="Times New Roman" w:eastAsia="仿宋_GB2312" w:cs="仿宋_GB2312"/>
          <w:color w:val="000000" w:themeColor="text1"/>
          <w:sz w:val="32"/>
          <w:szCs w:val="32"/>
          <w14:textFill>
            <w14:solidFill>
              <w14:schemeClr w14:val="tx1"/>
            </w14:solidFill>
          </w14:textFill>
        </w:rPr>
        <w:t>配方</w:t>
      </w:r>
      <w:r>
        <w:rPr>
          <w:rFonts w:hint="eastAsia" w:ascii="Times New Roman" w:hAnsi="Times New Roman" w:eastAsia="仿宋_GB2312" w:cs="仿宋_GB2312"/>
          <w:color w:val="000000" w:themeColor="text1"/>
          <w:sz w:val="32"/>
          <w:szCs w:val="32"/>
          <w14:textFill>
            <w14:solidFill>
              <w14:schemeClr w14:val="tx1"/>
            </w14:solidFill>
          </w14:textFill>
        </w:rPr>
        <w:t>51%（3</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1</w:t>
      </w:r>
      <w:r>
        <w:rPr>
          <w:rFonts w:hint="eastAsia" w:ascii="Times New Roman" w:hAnsi="Times New Roman"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14-6</w:t>
      </w:r>
      <w:r>
        <w:rPr>
          <w:rFonts w:hint="eastAsia" w:ascii="Times New Roman" w:hAnsi="Times New Roman"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播后上水水稻</w:t>
      </w:r>
      <w:r>
        <w:rPr>
          <w:rFonts w:hint="default" w:ascii="Times New Roman" w:hAnsi="Times New Roman" w:eastAsia="仿宋_GB2312" w:cs="仿宋_GB2312"/>
          <w:color w:val="000000" w:themeColor="text1"/>
          <w:sz w:val="32"/>
          <w:szCs w:val="32"/>
          <w14:textFill>
            <w14:solidFill>
              <w14:schemeClr w14:val="tx1"/>
            </w14:solidFill>
          </w14:textFill>
        </w:rPr>
        <w:t>并重配方</w:t>
      </w:r>
      <w:r>
        <w:rPr>
          <w:rFonts w:hint="eastAsia" w:ascii="Times New Roman" w:hAnsi="Times New Roman" w:eastAsia="仿宋_GB2312" w:cs="仿宋_GB2312"/>
          <w:color w:val="000000" w:themeColor="text1"/>
          <w:sz w:val="32"/>
          <w:szCs w:val="32"/>
          <w14:textFill>
            <w14:solidFill>
              <w14:schemeClr w14:val="tx1"/>
            </w14:solidFill>
          </w14:textFill>
        </w:rPr>
        <w:t>51%(32-13-6)</w:t>
      </w:r>
      <w:r>
        <w:rPr>
          <w:rFonts w:hint="default" w:ascii="Times New Roman" w:hAnsi="Times New Roman" w:eastAsia="仿宋_GB2312" w:cs="仿宋_GB2312"/>
          <w:color w:val="000000" w:themeColor="text1"/>
          <w:sz w:val="32"/>
          <w:szCs w:val="32"/>
          <w14:textFill>
            <w14:solidFill>
              <w14:schemeClr w14:val="tx1"/>
            </w14:solidFill>
          </w14:textFill>
        </w:rPr>
        <w:t>。并进一步根据目标产量分级，制定了具体的推荐施肥量范围，实现了从理论到可执行标准的转化。</w:t>
      </w:r>
    </w:p>
    <w:p w14:paraId="59644B38">
      <w:pPr>
        <w:pStyle w:val="19"/>
        <w:keepNext w:val="0"/>
        <w:keepLines w:val="0"/>
        <w:pageBreakBefore w:val="0"/>
        <w:kinsoku/>
        <w:wordWrap/>
        <w:overflowPunct/>
        <w:topLinePunct w:val="0"/>
        <w:autoSpaceDE/>
        <w:autoSpaceDN/>
        <w:bidi w:val="0"/>
        <w:spacing w:beforeLines="0" w:beforeAutospacing="0" w:afterLines="0" w:afterAutospacing="0" w:line="600" w:lineRule="exact"/>
        <w:ind w:firstLine="643" w:firstLineChars="200"/>
        <w:textAlignment w:val="auto"/>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2.试验验证</w:t>
      </w:r>
    </w:p>
    <w:p w14:paraId="77C8398F">
      <w:pPr>
        <w:pStyle w:val="19"/>
        <w:keepNext w:val="0"/>
        <w:keepLines w:val="0"/>
        <w:pageBreakBefore w:val="0"/>
        <w:kinsoku/>
        <w:wordWrap/>
        <w:overflowPunct/>
        <w:topLinePunct w:val="0"/>
        <w:autoSpaceDE/>
        <w:autoSpaceDN/>
        <w:bidi w:val="0"/>
        <w:spacing w:beforeLines="0" w:beforeAutospacing="0" w:afterLines="0" w:afterAutospacing="0" w:line="600" w:lineRule="exact"/>
        <w:ind w:firstLine="643" w:firstLineChars="200"/>
        <w:textAlignment w:val="auto"/>
        <w:rPr>
          <w:rFonts w:hint="default" w:ascii="Times New Roman" w:hAnsi="Times New Roman" w:eastAsia="仿宋_GB2312" w:cs="仿宋_GB2312"/>
          <w:b/>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（1）播后上水水稻试验验证</w:t>
      </w:r>
    </w:p>
    <w:p w14:paraId="6D408C10">
      <w:pPr>
        <w:pStyle w:val="19"/>
        <w:keepNext w:val="0"/>
        <w:keepLines w:val="0"/>
        <w:pageBreakBefore w:val="0"/>
        <w:kinsoku/>
        <w:wordWrap/>
        <w:overflowPunct/>
        <w:topLinePunct w:val="0"/>
        <w:autoSpaceDE/>
        <w:autoSpaceDN/>
        <w:bidi w:val="0"/>
        <w:spacing w:beforeLines="0" w:beforeAutospacing="0" w:afterLines="0" w:afterAutospacing="0" w:line="600" w:lineRule="exact"/>
        <w:ind w:firstLine="640" w:firstLineChars="200"/>
        <w:textAlignment w:val="auto"/>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分别于</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2019年、2022年、2024年在位于青铜峡市瞿靖镇瞿靖村三组、利通区金银滩镇沟台村富成专业合作社、银川市贺兰县常信乡丁北村1社</w:t>
      </w:r>
      <w:r>
        <w:rPr>
          <w:rFonts w:hint="default" w:ascii="Times New Roman" w:hAnsi="Times New Roman" w:eastAsia="仿宋_GB2312" w:cs="仿宋_GB2312"/>
          <w:color w:val="000000" w:themeColor="text1"/>
          <w:sz w:val="32"/>
          <w:szCs w:val="32"/>
          <w:highlight w:val="none"/>
          <w14:textFill>
            <w14:solidFill>
              <w14:schemeClr w14:val="tx1"/>
            </w14:solidFill>
          </w14:textFill>
        </w:rPr>
        <w:t>等地设置多点田间试验</w:t>
      </w:r>
      <w:r>
        <w:rPr>
          <w:rFonts w:hint="eastAsia" w:ascii="Times New Roman" w:eastAsia="仿宋_GB2312" w:cs="仿宋_GB2312"/>
          <w:color w:val="000000" w:themeColor="text1"/>
          <w:sz w:val="32"/>
          <w:szCs w:val="32"/>
          <w:highlight w:val="none"/>
          <w:lang w:eastAsia="zh-CN"/>
          <w14:textFill>
            <w14:solidFill>
              <w14:schemeClr w14:val="tx1"/>
            </w14:solidFill>
          </w14:textFill>
        </w:rPr>
        <w:t>，验证播后上水水稻的目标产量与施肥量是否匹配。</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供</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试水稻</w:t>
      </w:r>
      <w:r>
        <w:rPr>
          <w:rFonts w:hint="eastAsia" w:ascii="Times New Roman" w:hAnsi="Times New Roman" w:eastAsia="仿宋_GB2312" w:cs="仿宋_GB2312"/>
          <w:color w:val="000000" w:themeColor="text1"/>
          <w:sz w:val="32"/>
          <w:szCs w:val="32"/>
          <w:highlight w:val="none"/>
          <w14:textFill>
            <w14:solidFill>
              <w14:schemeClr w14:val="tx1"/>
            </w14:solidFill>
          </w14:textFill>
        </w:rPr>
        <w:t>专用缓释型配方肥</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配方为5</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1</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%(32-13-</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6</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试验设</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5-6</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个处理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重复3次，小区面积</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30</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m</w:t>
      </w:r>
      <w:r>
        <w:rPr>
          <w:rFonts w:hint="eastAsia" w:ascii="Times New Roman" w:hAnsi="Times New Roman" w:eastAsia="仿宋_GB2312" w:cs="仿宋_GB2312"/>
          <w:color w:val="000000" w:themeColor="text1"/>
          <w:sz w:val="32"/>
          <w:szCs w:val="32"/>
          <w:highlight w:val="none"/>
          <w:vertAlign w:val="superscript"/>
          <w:lang w:val="en-US" w:eastAsia="zh-CN"/>
          <w14:textFill>
            <w14:solidFill>
              <w14:schemeClr w14:val="tx1"/>
            </w14:solidFill>
          </w14:textFill>
        </w:rPr>
        <w:t>2</w:t>
      </w:r>
      <w:r>
        <w:rPr>
          <w:rFonts w:hint="eastAsia" w:ascii="Times New Roman" w:eastAsia="仿宋_GB2312" w:cs="仿宋_GB2312"/>
          <w:color w:val="000000" w:themeColor="text1"/>
          <w:sz w:val="32"/>
          <w:szCs w:val="32"/>
          <w:highlight w:val="none"/>
          <w:vertAlign w:val="baseline"/>
          <w:lang w:val="en-US" w:eastAsia="zh-CN"/>
          <w14:textFill>
            <w14:solidFill>
              <w14:schemeClr w14:val="tx1"/>
            </w14:solidFill>
          </w14:textFill>
        </w:rPr>
        <w:t>以上</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，随机排列，水稻专用缓释型配方肥全部作基肥一次性机械深施，采匀撒施地表，用旋耕机械及时将肥料深翻入土或采用条播机直接条施入土。通过对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个试验点的</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水稻</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出苗率监测显示：</w:t>
      </w:r>
      <w:r>
        <w:rPr>
          <w:rFonts w:hint="default" w:ascii="Times New Roman" w:hAnsi="Times New Roman" w:eastAsia="仿宋_GB2312" w:cs="仿宋_GB2312"/>
          <w:color w:val="000000" w:themeColor="text1"/>
          <w:sz w:val="32"/>
          <w:szCs w:val="32"/>
          <w:highlight w:val="none"/>
          <w14:textFill>
            <w14:solidFill>
              <w14:schemeClr w14:val="tx1"/>
            </w14:solidFill>
          </w14:textFill>
        </w:rPr>
        <w:t>各点缓释肥处理</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出苗率均在9</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0</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%以上</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、生育期也</w:t>
      </w:r>
      <w:r>
        <w:rPr>
          <w:rFonts w:hint="default" w:ascii="Times New Roman" w:hAnsi="Times New Roman" w:eastAsia="仿宋_GB2312" w:cs="仿宋_GB2312"/>
          <w:color w:val="000000" w:themeColor="text1"/>
          <w:sz w:val="32"/>
          <w:szCs w:val="32"/>
          <w:highlight w:val="none"/>
          <w14:textFill>
            <w14:solidFill>
              <w14:schemeClr w14:val="tx1"/>
            </w14:solidFill>
          </w14:textFill>
        </w:rPr>
        <w:t>与常规施肥</w:t>
      </w:r>
      <w:r>
        <w:rPr>
          <w:rFonts w:hint="eastAsia" w:ascii="Times New Roman" w:eastAsia="仿宋_GB2312" w:cs="仿宋_GB2312"/>
          <w:color w:val="000000" w:themeColor="text1"/>
          <w:sz w:val="32"/>
          <w:szCs w:val="32"/>
          <w:highlight w:val="none"/>
          <w:lang w:eastAsia="zh-CN"/>
          <w14:textFill>
            <w14:solidFill>
              <w14:schemeClr w14:val="tx1"/>
            </w14:solidFill>
          </w14:textFill>
        </w:rPr>
        <w:t>或其他施肥方式下</w:t>
      </w:r>
      <w:r>
        <w:rPr>
          <w:rFonts w:hint="default" w:ascii="Times New Roman" w:hAnsi="Times New Roman" w:eastAsia="仿宋_GB2312" w:cs="仿宋_GB2312"/>
          <w:color w:val="000000" w:themeColor="text1"/>
          <w:sz w:val="32"/>
          <w:szCs w:val="32"/>
          <w:highlight w:val="none"/>
          <w14:textFill>
            <w14:solidFill>
              <w14:schemeClr w14:val="tx1"/>
            </w14:solidFill>
          </w14:textFill>
        </w:rPr>
        <w:t>无实质性差异，证明一次性</w:t>
      </w:r>
      <w:r>
        <w:rPr>
          <w:rFonts w:hint="eastAsia" w:ascii="Times New Roman" w:eastAsia="仿宋_GB2312" w:cs="仿宋_GB2312"/>
          <w:color w:val="000000" w:themeColor="text1"/>
          <w:sz w:val="32"/>
          <w:szCs w:val="32"/>
          <w:highlight w:val="none"/>
          <w:lang w:eastAsia="zh-CN"/>
          <w14:textFill>
            <w14:solidFill>
              <w14:schemeClr w14:val="tx1"/>
            </w14:solidFill>
          </w14:textFill>
        </w:rPr>
        <w:t>基</w:t>
      </w:r>
      <w:r>
        <w:rPr>
          <w:rFonts w:hint="default" w:ascii="Times New Roman" w:hAnsi="Times New Roman" w:eastAsia="仿宋_GB2312" w:cs="仿宋_GB2312"/>
          <w:color w:val="000000" w:themeColor="text1"/>
          <w:sz w:val="32"/>
          <w:szCs w:val="32"/>
          <w:highlight w:val="none"/>
          <w14:textFill>
            <w14:solidFill>
              <w14:schemeClr w14:val="tx1"/>
            </w14:solidFill>
          </w14:textFill>
        </w:rPr>
        <w:t>施安全性良好</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。产量结果表明：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①</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青铜峡试验点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试验设置，处理1：（CK）与一次性施等养分量的常规农户施肥，2：一次性施肥43kg/亩，处理3：</w:t>
      </w:r>
      <w:r>
        <w:rPr>
          <w:rFonts w:hint="eastAsia" w:ascii="Times New Roman" w:hAnsi="Times New Roman" w:eastAsia="仿宋_GB2312" w:cs="仿宋_GB2312"/>
          <w:color w:val="000000" w:themeColor="text1"/>
          <w:sz w:val="32"/>
          <w:szCs w:val="32"/>
          <w:highlight w:val="none"/>
          <w14:textFill>
            <w14:solidFill>
              <w14:schemeClr w14:val="tx1"/>
            </w14:solidFill>
          </w14:textFill>
        </w:rPr>
        <w:t>施</w:t>
      </w:r>
      <w:r>
        <w:rPr>
          <w:rFonts w:hint="eastAsia" w:ascii="Times New Roman" w:eastAsia="仿宋_GB2312" w:cs="仿宋_GB2312"/>
          <w:color w:val="000000" w:themeColor="text1"/>
          <w:sz w:val="32"/>
          <w:szCs w:val="32"/>
          <w:highlight w:val="none"/>
          <w:lang w:eastAsia="zh-CN"/>
          <w14:textFill>
            <w14:solidFill>
              <w14:schemeClr w14:val="tx1"/>
            </w14:solidFill>
          </w14:textFill>
        </w:rPr>
        <w:t>缓</w:t>
      </w:r>
      <w:r>
        <w:rPr>
          <w:rFonts w:hint="eastAsia" w:ascii="Times New Roman" w:hAnsi="Times New Roman" w:eastAsia="仿宋_GB2312" w:cs="仿宋_GB2312"/>
          <w:color w:val="000000" w:themeColor="text1"/>
          <w:sz w:val="32"/>
          <w:szCs w:val="32"/>
          <w:highlight w:val="none"/>
          <w14:textFill>
            <w14:solidFill>
              <w14:schemeClr w14:val="tx1"/>
            </w14:solidFill>
          </w14:textFill>
        </w:rPr>
        <w:t>释肥直B型+追施苗蘖肥2次</w:t>
      </w:r>
      <w:r>
        <w:rPr>
          <w:rFonts w:hint="eastAsia" w:ascii="Times New Roman" w:eastAsia="仿宋_GB2312" w:cs="仿宋_GB2312"/>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4</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14:textFill>
            <w14:solidFill>
              <w14:schemeClr w14:val="tx1"/>
            </w14:solidFill>
          </w14:textFill>
        </w:rPr>
        <w:t>基施</w:t>
      </w:r>
      <w:r>
        <w:rPr>
          <w:rFonts w:hint="eastAsia" w:ascii="Times New Roman" w:eastAsia="仿宋_GB2312" w:cs="仿宋_GB2312"/>
          <w:color w:val="000000" w:themeColor="text1"/>
          <w:sz w:val="32"/>
          <w:szCs w:val="32"/>
          <w:highlight w:val="none"/>
          <w:lang w:eastAsia="zh-CN"/>
          <w14:textFill>
            <w14:solidFill>
              <w14:schemeClr w14:val="tx1"/>
            </w14:solidFill>
          </w14:textFill>
        </w:rPr>
        <w:t>缓</w:t>
      </w:r>
      <w:r>
        <w:rPr>
          <w:rFonts w:hint="eastAsia" w:ascii="Times New Roman" w:hAnsi="Times New Roman" w:eastAsia="仿宋_GB2312" w:cs="仿宋_GB2312"/>
          <w:color w:val="000000" w:themeColor="text1"/>
          <w:sz w:val="32"/>
          <w:szCs w:val="32"/>
          <w:highlight w:val="none"/>
          <w14:textFill>
            <w14:solidFill>
              <w14:schemeClr w14:val="tx1"/>
            </w14:solidFill>
          </w14:textFill>
        </w:rPr>
        <w:t>释肥直B型+追施苗蘖肥1次</w:t>
      </w:r>
      <w:r>
        <w:rPr>
          <w:rFonts w:hint="eastAsia" w:ascii="Times New Roman" w:hAnsi="Times New Roman" w:eastAsia="仿宋_GB2312" w:cs="仿宋_GB2312"/>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产量</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差异达显著水平，</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其中：处理2</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亩产量</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509kg，较常规施肥增产22kg/亩，较处理3和4节约用肥3.6kg/亩，节约施肥劳动力投入1-2次，多处理间经济效益（纯利润）差异并不明显，一次性施肥优势凸显，施肥量与目标产量吻合。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利通区</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试验设置6个处理，处理1为等养分量的农户常规施肥，其余5个处理每处理为1种缓释肥产品，5种不同的缓释肥产品用量均为43kg/亩，</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间产量</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差异</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不</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显著，</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产量分别为483.1kg/亩、555.8</w:t>
      </w:r>
      <w:r>
        <w:rPr>
          <w:rFonts w:hint="default" w:ascii="Times New Roman" w:eastAsia="仿宋_GB2312" w:cs="仿宋_GB2312"/>
          <w:color w:val="000000" w:themeColor="text1"/>
          <w:sz w:val="32"/>
          <w:szCs w:val="32"/>
          <w:highlight w:val="none"/>
          <w:lang w:val="en-US" w:eastAsia="zh-CN"/>
          <w14:textFill>
            <w14:solidFill>
              <w14:schemeClr w14:val="tx1"/>
            </w14:solidFill>
          </w14:textFill>
        </w:rPr>
        <w:t>kg/</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亩、545.9</w:t>
      </w:r>
      <w:r>
        <w:rPr>
          <w:rFonts w:hint="default" w:ascii="Times New Roman" w:eastAsia="仿宋_GB2312" w:cs="仿宋_GB2312"/>
          <w:color w:val="000000" w:themeColor="text1"/>
          <w:sz w:val="32"/>
          <w:szCs w:val="32"/>
          <w:highlight w:val="none"/>
          <w:lang w:val="en-US" w:eastAsia="zh-CN"/>
          <w14:textFill>
            <w14:solidFill>
              <w14:schemeClr w14:val="tx1"/>
            </w14:solidFill>
          </w14:textFill>
        </w:rPr>
        <w:t>kg/</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亩、564.7</w:t>
      </w:r>
      <w:r>
        <w:rPr>
          <w:rFonts w:hint="default" w:ascii="Times New Roman" w:eastAsia="仿宋_GB2312" w:cs="仿宋_GB2312"/>
          <w:color w:val="000000" w:themeColor="text1"/>
          <w:sz w:val="32"/>
          <w:szCs w:val="32"/>
          <w:highlight w:val="none"/>
          <w:lang w:val="en-US" w:eastAsia="zh-CN"/>
          <w14:textFill>
            <w14:solidFill>
              <w14:schemeClr w14:val="tx1"/>
            </w14:solidFill>
          </w14:textFill>
        </w:rPr>
        <w:t>kg/</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亩、554.7</w:t>
      </w:r>
      <w:r>
        <w:rPr>
          <w:rFonts w:hint="default" w:ascii="Times New Roman" w:eastAsia="仿宋_GB2312" w:cs="仿宋_GB2312"/>
          <w:color w:val="000000" w:themeColor="text1"/>
          <w:sz w:val="32"/>
          <w:szCs w:val="32"/>
          <w:highlight w:val="none"/>
          <w:lang w:val="en-US" w:eastAsia="zh-CN"/>
          <w14:textFill>
            <w14:solidFill>
              <w14:schemeClr w14:val="tx1"/>
            </w14:solidFill>
          </w14:textFill>
        </w:rPr>
        <w:t>kg/</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亩、571.8</w:t>
      </w:r>
      <w:r>
        <w:rPr>
          <w:rFonts w:hint="default" w:ascii="Times New Roman" w:eastAsia="仿宋_GB2312" w:cs="仿宋_GB2312"/>
          <w:color w:val="000000" w:themeColor="text1"/>
          <w:sz w:val="32"/>
          <w:szCs w:val="32"/>
          <w:highlight w:val="none"/>
          <w:lang w:val="en-US" w:eastAsia="zh-CN"/>
          <w14:textFill>
            <w14:solidFill>
              <w14:schemeClr w14:val="tx1"/>
            </w14:solidFill>
          </w14:textFill>
        </w:rPr>
        <w:t>kg/</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亩，各缓释肥产品同一用量下产量稳定在500-550kg/亩水平内，产量和纯利润差异不显著，但较常规施肥增产62.8kg/亩~88.7kg/亩，与目标产量和推荐施肥量吻合。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③</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银川市</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试验点</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试验设置5个处理，处理1为等养分量的农户常规施肥，处理2为一次性基施45kg/亩缓控释肥，处理3-5为基施缓控释肥45kg/亩基础上，在水稻拔节期和灌浆初期各喷施1次由氨基酸、亚磷酸钾、芸苔素混合而成的增产套餐，套餐用量分高中低三档，每档对应一个处理，各处理重复3次。产量结果</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表明：</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处理1-5的产量分别为471.9kg/亩、558kg/亩、643kg/亩、621kg/亩、604kg/亩，除常规施肥外</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各处理</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产量均达到目标产量以上550-600以上，增施增产套餐产量提升明显，但施肥成本增加，人工增加，各处理间经济效益</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差异不显著</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，与该产量下推荐施肥量匹配</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w:t>
      </w:r>
    </w:p>
    <w:p w14:paraId="00BAB4BB">
      <w:pPr>
        <w:keepNext w:val="0"/>
        <w:keepLines w:val="0"/>
        <w:pageBreakBefore w:val="0"/>
        <w:widowControl/>
        <w:numPr>
          <w:ilvl w:val="0"/>
          <w:numId w:val="2"/>
        </w:numPr>
        <w:suppressLineNumbers w:val="0"/>
        <w:kinsoku/>
        <w:wordWrap/>
        <w:overflowPunct/>
        <w:topLinePunct w:val="0"/>
        <w:autoSpaceDE/>
        <w:autoSpaceDN/>
        <w:bidi w:val="0"/>
        <w:spacing w:beforeAutospacing="0" w:afterAutospacing="0" w:line="600" w:lineRule="exact"/>
        <w:ind w:firstLine="643" w:firstLineChars="200"/>
        <w:jc w:val="left"/>
        <w:textAlignment w:val="auto"/>
        <w:rPr>
          <w:rFonts w:hint="eastAsia" w:ascii="仿宋_GB2312" w:hAnsi="仿宋_GB2312" w:eastAsia="仿宋_GB2312" w:cs="仿宋_GB2312"/>
          <w:b/>
          <w:bCs/>
          <w:kern w:val="0"/>
          <w:sz w:val="32"/>
          <w:szCs w:val="32"/>
          <w:highlight w:val="none"/>
          <w:lang w:val="en-US" w:eastAsia="zh-CN" w:bidi="ar-SA"/>
        </w:rPr>
      </w:pPr>
      <w:r>
        <w:rPr>
          <w:rFonts w:hint="eastAsia" w:ascii="仿宋_GB2312" w:hAnsi="仿宋_GB2312" w:eastAsia="仿宋_GB2312" w:cs="仿宋_GB2312"/>
          <w:b/>
          <w:bCs/>
          <w:kern w:val="0"/>
          <w:sz w:val="32"/>
          <w:szCs w:val="32"/>
          <w:highlight w:val="none"/>
          <w:lang w:val="en-US" w:eastAsia="zh-CN" w:bidi="ar-SA"/>
        </w:rPr>
        <w:t>插秧稻试验验证</w:t>
      </w:r>
    </w:p>
    <w:p w14:paraId="23E5C17E">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2019年在位于沙坡头区东园镇八字渠村水稻地块中设置田间试验，</w:t>
      </w:r>
      <w:r>
        <w:rPr>
          <w:rFonts w:hint="eastAsia" w:ascii="Times New Roman" w:eastAsia="仿宋_GB2312" w:cs="仿宋_GB2312"/>
          <w:color w:val="000000" w:themeColor="text1"/>
          <w:sz w:val="32"/>
          <w:szCs w:val="32"/>
          <w:highlight w:val="none"/>
          <w:lang w:eastAsia="zh-CN"/>
          <w14:textFill>
            <w14:solidFill>
              <w14:schemeClr w14:val="tx1"/>
            </w14:solidFill>
          </w14:textFill>
        </w:rPr>
        <w:t>验证插秧水稻的目标产量与理论施肥量是否匹配</w:t>
      </w: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试验共设4个处理，每处理重复3次，分别是处理1：一次性基施缓释肥插A1型，处理2：一次性基施缓释肥插A2型，处理3：基施缓释肥插B1型+追施返青分蘖肥，处理4：基施缓释肥插B2型+追施返青分蘖肥，处理5与一次性基施不追肥等养分量的常规施肥。供试肥料为：荣和缓释肥产品插A1型51%(31-14-6)、插A2型51%(31-14-6)、插B1型50%(27-16-7)、插B2型50%(27-16-7)，插A1型和插A2型用量均为50kg/亩，插B1型和插B2型用量为44.4kg/亩并追施硫酸铵6kg/亩和尿素5kg/亩，供试水稻品种为宁粳28号，采用插秧种植方式。前茬作物为水稻，前茬产量为650kg/亩。试验结果表明：①处理3、4生育期较其他处理长2-3天但出现倒伏。②产量方面处理3和处理4水稻的实粒数、总粒数、结实率和理论产量高于处理1、处理2和处理5。5个处理水稻产量分别为702.9kg/亩、713.2kg/亩、740.2kg/亩、759.3kg/亩、651.9kg/亩，处理1和处理2综合肥料成本与施肥成本后与处理3和处理4之间经济效益（纯利润）差异不显著，较常规施肥增产51kg/亩</w:t>
      </w:r>
      <w:r>
        <w:rPr>
          <w:rFonts w:hint="eastAsia" w:ascii="Times New Roman"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61.3kg/亩，经济效益明显，一次性施肥用量与推荐施肥量吻合。</w:t>
      </w:r>
    </w:p>
    <w:p w14:paraId="2F617378">
      <w:pPr>
        <w:keepNext w:val="0"/>
        <w:keepLines w:val="0"/>
        <w:pageBreakBefore w:val="0"/>
        <w:kinsoku/>
        <w:wordWrap/>
        <w:overflowPunct/>
        <w:topLinePunct w:val="0"/>
        <w:autoSpaceDE/>
        <w:autoSpaceDN/>
        <w:bidi w:val="0"/>
        <w:spacing w:beforeAutospacing="0" w:afterAutospacing="0" w:line="600" w:lineRule="exact"/>
        <w:ind w:firstLine="643" w:firstLineChars="200"/>
        <w:textAlignment w:val="auto"/>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en-US" w:eastAsia="zh-CN"/>
          <w14:textFill>
            <w14:solidFill>
              <w14:schemeClr w14:val="tx1"/>
            </w14:solidFill>
          </w14:textFill>
        </w:rPr>
        <w:t>（三）示范推广效果</w:t>
      </w:r>
    </w:p>
    <w:p w14:paraId="563D1D8E">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_GB2312" w:hAnsi="仿宋_GB2312" w:eastAsia="仿宋_GB2312" w:cs="仿宋_GB2312"/>
          <w:snapToGrid w:val="0"/>
          <w:color w:val="0070C0"/>
          <w:kern w:val="0"/>
          <w:sz w:val="32"/>
          <w:szCs w:val="32"/>
          <w:lang w:val="zh-CN" w:eastAsia="zh-CN"/>
        </w:rPr>
      </w:pPr>
      <w:r>
        <w:rPr>
          <w:rFonts w:hint="eastAsia" w:ascii="仿宋_GB2312" w:hAnsi="仿宋_GB2312" w:eastAsia="仿宋_GB2312" w:cs="仿宋_GB2312"/>
          <w:snapToGrid w:val="0"/>
          <w:color w:val="auto"/>
          <w:kern w:val="0"/>
          <w:sz w:val="32"/>
          <w:szCs w:val="32"/>
          <w:lang w:val="en-US" w:eastAsia="zh-CN"/>
        </w:rPr>
        <w:t>截至2024年，该技术已在宁夏各地建立核心示范示范区253个，示范面积累计达101.44万亩（其中水稻示范面积15.82万亩）。技术历经15年优化与推广，在全区累计推广2184.48万亩，累计增产粮食71.24万吨，减少化肥投入4.79万吨，</w:t>
      </w:r>
      <w:r>
        <w:rPr>
          <w:rFonts w:hint="default" w:ascii="仿宋_GB2312" w:hAnsi="仿宋_GB2312" w:eastAsia="仿宋_GB2312" w:cs="仿宋_GB2312"/>
          <w:snapToGrid w:val="0"/>
          <w:color w:val="auto"/>
          <w:kern w:val="0"/>
          <w:sz w:val="32"/>
          <w:szCs w:val="32"/>
          <w:lang w:val="zh-CN" w:eastAsia="zh-CN"/>
        </w:rPr>
        <w:t>化肥利用率从推广前的不足35%提升至4</w:t>
      </w:r>
      <w:r>
        <w:rPr>
          <w:rFonts w:hint="eastAsia" w:ascii="仿宋_GB2312" w:hAnsi="仿宋_GB2312" w:eastAsia="仿宋_GB2312" w:cs="仿宋_GB2312"/>
          <w:snapToGrid w:val="0"/>
          <w:color w:val="auto"/>
          <w:kern w:val="0"/>
          <w:sz w:val="32"/>
          <w:szCs w:val="32"/>
          <w:lang w:val="en-US" w:eastAsia="zh-CN"/>
        </w:rPr>
        <w:t>3.32</w:t>
      </w:r>
      <w:r>
        <w:rPr>
          <w:rFonts w:hint="default" w:ascii="仿宋_GB2312" w:hAnsi="仿宋_GB2312" w:eastAsia="仿宋_GB2312" w:cs="仿宋_GB2312"/>
          <w:snapToGrid w:val="0"/>
          <w:color w:val="auto"/>
          <w:kern w:val="0"/>
          <w:sz w:val="32"/>
          <w:szCs w:val="32"/>
          <w:lang w:val="zh-CN" w:eastAsia="zh-CN"/>
        </w:rPr>
        <w:t>%</w:t>
      </w:r>
      <w:r>
        <w:rPr>
          <w:rFonts w:hint="eastAsia" w:ascii="仿宋_GB2312" w:hAnsi="仿宋_GB2312" w:eastAsia="仿宋_GB2312" w:cs="仿宋_GB2312"/>
          <w:snapToGrid w:val="0"/>
          <w:color w:val="auto"/>
          <w:kern w:val="0"/>
          <w:sz w:val="32"/>
          <w:szCs w:val="32"/>
          <w:lang w:val="en-US" w:eastAsia="zh-CN"/>
        </w:rPr>
        <w:t>,</w:t>
      </w:r>
      <w:r>
        <w:rPr>
          <w:rFonts w:hint="default" w:ascii="仿宋_GB2312" w:hAnsi="仿宋_GB2312" w:eastAsia="仿宋_GB2312" w:cs="仿宋_GB2312"/>
          <w:snapToGrid w:val="0"/>
          <w:color w:val="auto"/>
          <w:kern w:val="0"/>
          <w:sz w:val="32"/>
          <w:szCs w:val="32"/>
          <w:lang w:val="zh-CN" w:eastAsia="zh-CN"/>
        </w:rPr>
        <w:t>节约劳力成本约16.89亿元</w:t>
      </w:r>
      <w:r>
        <w:rPr>
          <w:rFonts w:hint="eastAsia" w:ascii="仿宋_GB2312" w:hAnsi="仿宋_GB2312" w:eastAsia="仿宋_GB2312" w:cs="仿宋_GB2312"/>
          <w:snapToGrid w:val="0"/>
          <w:color w:val="auto"/>
          <w:kern w:val="0"/>
          <w:sz w:val="32"/>
          <w:szCs w:val="32"/>
          <w:lang w:val="en-US" w:eastAsia="zh-CN"/>
        </w:rPr>
        <w:t>，为全区化肥施用总量和施用强度实现"七连降"做出了重要贡献。技术赢得了广大农户，特别是种植大户的认可，经济、社会、生态效益显著。</w:t>
      </w:r>
    </w:p>
    <w:p w14:paraId="06D5C8D9">
      <w:pPr>
        <w:keepNext w:val="0"/>
        <w:keepLines w:val="0"/>
        <w:pageBreakBefore w:val="0"/>
        <w:kinsoku/>
        <w:wordWrap/>
        <w:overflowPunct/>
        <w:topLinePunct w:val="0"/>
        <w:autoSpaceDE/>
        <w:autoSpaceDN/>
        <w:bidi w:val="0"/>
        <w:spacing w:beforeAutospacing="0" w:afterAutospacing="0" w:line="600" w:lineRule="exact"/>
        <w:ind w:firstLine="643" w:firstLineChars="200"/>
        <w:textAlignment w:val="auto"/>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w:t>
      </w:r>
      <w:r>
        <w:rPr>
          <w:rFonts w:hint="eastAsia" w:ascii="仿宋_GB2312" w:hAnsi="仿宋_GB2312" w:eastAsia="仿宋_GB2312" w:cs="仿宋_GB2312"/>
          <w:b/>
          <w:bCs/>
          <w:snapToGrid w:val="0"/>
          <w:color w:val="000000" w:themeColor="text1"/>
          <w:kern w:val="0"/>
          <w:sz w:val="32"/>
          <w:szCs w:val="32"/>
          <w:lang w:val="en-US" w:eastAsia="zh-CN"/>
          <w14:textFill>
            <w14:solidFill>
              <w14:schemeClr w14:val="tx1"/>
            </w14:solidFill>
          </w14:textFill>
        </w:rPr>
        <w:t>四）</w:t>
      </w: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 xml:space="preserve">技术成熟度与可操作性 </w:t>
      </w:r>
    </w:p>
    <w:p w14:paraId="66F584C8">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本技术体系源于长期系统性的科学试验与生产实践，经过15年的持续研究、验证与大面积示范推广，已形成成熟、稳定、操作性强的标准化技术方案。标准中所有技术指标与参数均经过大量试验验证和实践检验，技术指标科学合理，参数设置符合宁夏实际，能够有效指导水稻一次性施肥技术的标准化、规范化应用。同时该技术成果获农业农村部农牧渔业丰收奖二等奖，具备扎实的科学基础、广泛的实践检验和良好的推广应用前景，能够有效指导宁夏水稻一次性施肥技术的规范化应用。。</w:t>
      </w:r>
    </w:p>
    <w:p w14:paraId="13119F1A">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六、重大意见分歧的处理依据</w:t>
      </w:r>
      <w:r>
        <w:rPr>
          <w:rFonts w:ascii="黑体" w:hAnsi="黑体" w:eastAsia="黑体" w:cs="黑体"/>
          <w:sz w:val="32"/>
          <w:szCs w:val="32"/>
        </w:rPr>
        <w:t>和结果</w:t>
      </w:r>
    </w:p>
    <w:p w14:paraId="5C3A418F">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t>本标准在制订过程中，已与相关领域的科研、推广等方面的专家、管理人员进行充分沟通，并在广泛征求意见的基础上制订，未产生重大分歧意见。</w:t>
      </w:r>
    </w:p>
    <w:p w14:paraId="22852582">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七、实施</w:t>
      </w:r>
      <w:r>
        <w:rPr>
          <w:rFonts w:ascii="黑体" w:hAnsi="黑体" w:eastAsia="黑体" w:cs="黑体"/>
          <w:sz w:val="32"/>
          <w:szCs w:val="32"/>
        </w:rPr>
        <w:t>标准的措施及建议</w:t>
      </w:r>
    </w:p>
    <w:p w14:paraId="7059F09A">
      <w:pPr>
        <w:keepNext w:val="0"/>
        <w:keepLines w:val="0"/>
        <w:pageBreakBefore w:val="0"/>
        <w:kinsoku/>
        <w:wordWrap/>
        <w:overflowPunct/>
        <w:topLinePunct w:val="0"/>
        <w:autoSpaceDE/>
        <w:autoSpaceDN/>
        <w:bidi w:val="0"/>
        <w:spacing w:beforeAutospacing="0" w:afterAutospacing="0" w:line="600" w:lineRule="exact"/>
        <w:ind w:firstLine="643" w:firstLineChars="200"/>
        <w:textAlignment w:val="auto"/>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（一）</w:t>
      </w:r>
      <w:r>
        <w:rPr>
          <w:rFonts w:hint="eastAsia" w:ascii="仿宋_GB2312" w:hAnsi="仿宋_GB2312" w:eastAsia="仿宋_GB2312" w:cs="仿宋_GB2312"/>
          <w:b/>
          <w:bCs/>
          <w:snapToGrid w:val="0"/>
          <w:color w:val="000000" w:themeColor="text1"/>
          <w:kern w:val="0"/>
          <w:sz w:val="32"/>
          <w:szCs w:val="32"/>
          <w:lang w:val="zh-CN" w:eastAsia="zh-CN"/>
          <w14:textFill>
            <w14:solidFill>
              <w14:schemeClr w14:val="tx1"/>
            </w14:solidFill>
          </w14:textFill>
        </w:rPr>
        <w:t>实施</w:t>
      </w: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措施</w:t>
      </w:r>
    </w:p>
    <w:p w14:paraId="703B44C0">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1.加强标准宣贯培训。</w:t>
      </w:r>
      <w:r>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t>组织全区各级农技推广部门，组织专家与技术人员开展标准宣贯与实操培训，重点面向种植大户、专业合作社及基层农技人员，确保标准内容准确理解与规范应用。</w:t>
      </w:r>
    </w:p>
    <w:p w14:paraId="5E6F32EA">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2.开展示范推广与跟踪评估。依托测土配方施肥、化肥减量增效等项目，建设一次性施肥技术试验示范区，通过现场观摩、田间课堂、技术交流等形式，组织农技人员、种植主体参观学习，直观掌握一次性施肥技术研究成果与应用效果，推动技术落地。建立效果监测机制，定期对实施区域进行产量、节肥、土壤质量等指标跟踪，评价实施效果。</w:t>
      </w:r>
    </w:p>
    <w:p w14:paraId="22F3AF0D">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3.创新推广方式：充分利用微信公众号、视频号等新媒体手段，制作技术图解、操作视频、典型案例等宣传材料，多形式、多渠道推广应用技术规程，扩大标准覆盖面和影响力。</w:t>
      </w:r>
    </w:p>
    <w:p w14:paraId="7C4E49F0">
      <w:pPr>
        <w:keepNext w:val="0"/>
        <w:keepLines w:val="0"/>
        <w:pageBreakBefore w:val="0"/>
        <w:kinsoku/>
        <w:wordWrap/>
        <w:overflowPunct/>
        <w:topLinePunct w:val="0"/>
        <w:autoSpaceDE/>
        <w:autoSpaceDN/>
        <w:bidi w:val="0"/>
        <w:spacing w:beforeAutospacing="0" w:afterAutospacing="0" w:line="600" w:lineRule="exact"/>
        <w:ind w:firstLine="643" w:firstLineChars="200"/>
        <w:textAlignment w:val="auto"/>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（二）实施建议</w:t>
      </w:r>
    </w:p>
    <w:p w14:paraId="1943AC84">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本标准各项技术指标均基于全区多年、多点田间试验与示范验证，科学可靠、操作性强，符合宁夏水稻生产实际，对推动化肥减量增效、提升耕地质量具有重要指导意义。建议作为推荐性地方标准批准发布，并在全区水稻生产中推广应用。</w:t>
      </w:r>
    </w:p>
    <w:p w14:paraId="12C8B925">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八、知识产权说明</w:t>
      </w:r>
    </w:p>
    <w:p w14:paraId="76F91751">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ascii="Times New Roman" w:hAnsi="Times New Roman" w:eastAsia="仿宋_GB2312" w:cs="Times New Roman"/>
          <w:snapToGrid w:val="0"/>
          <w:color w:val="000000" w:themeColor="text1"/>
          <w:kern w:val="0"/>
          <w:sz w:val="32"/>
          <w:szCs w:val="32"/>
          <w:lang w:val="zh-CN"/>
          <w14:textFill>
            <w14:solidFill>
              <w14:schemeClr w14:val="tx1"/>
            </w14:solidFill>
          </w14:textFill>
        </w:rPr>
        <w:t>不涉及相关知识产权和专利。</w:t>
      </w:r>
    </w:p>
    <w:p w14:paraId="725B8A89">
      <w:pPr>
        <w:keepNext w:val="0"/>
        <w:keepLines w:val="0"/>
        <w:pageBreakBefore w:val="0"/>
        <w:kinsoku/>
        <w:wordWrap/>
        <w:overflowPunct/>
        <w:topLinePunct w:val="0"/>
        <w:autoSpaceDE/>
        <w:autoSpaceDN/>
        <w:bidi w:val="0"/>
        <w:spacing w:beforeAutospacing="0" w:afterAutospacing="0"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九、其他应说明的事项</w:t>
      </w:r>
    </w:p>
    <w:p w14:paraId="353A4F4E">
      <w:pPr>
        <w:pStyle w:val="4"/>
        <w:keepNext w:val="0"/>
        <w:keepLines w:val="0"/>
        <w:pageBreakBefore w:val="0"/>
        <w:kinsoku/>
        <w:wordWrap/>
        <w:overflowPunct/>
        <w:topLinePunct w:val="0"/>
        <w:autoSpaceDE/>
        <w:autoSpaceDN/>
        <w:bidi w:val="0"/>
        <w:spacing w:before="0" w:beforeAutospacing="0" w:after="0" w:afterAutospacing="0" w:line="600" w:lineRule="exact"/>
        <w:ind w:firstLine="640" w:firstLineChars="200"/>
        <w:jc w:val="both"/>
        <w:textAlignment w:val="auto"/>
        <w:rPr>
          <w:rFonts w:hint="default"/>
          <w:snapToGrid w:val="0"/>
          <w:color w:val="000000" w:themeColor="text1"/>
          <w:sz w:val="32"/>
          <w:szCs w:val="32"/>
          <w14:textFill>
            <w14:solidFill>
              <w14:schemeClr w14:val="tx1"/>
            </w14:solidFill>
          </w14:textFill>
        </w:rPr>
      </w:pPr>
      <w:r>
        <w:rPr>
          <w:rFonts w:ascii="仿宋_GB2312" w:hAnsi="仿宋_GB2312" w:eastAsia="仿宋_GB2312" w:cs="仿宋_GB2312"/>
          <w:b w:val="0"/>
          <w:bCs/>
          <w:snapToGrid w:val="0"/>
          <w:color w:val="000000" w:themeColor="text1"/>
          <w:sz w:val="32"/>
          <w:szCs w:val="32"/>
          <w14:textFill>
            <w14:solidFill>
              <w14:schemeClr w14:val="tx1"/>
            </w14:solidFill>
          </w14:textFill>
        </w:rPr>
        <w:t>无。</w:t>
      </w:r>
    </w:p>
    <w:p w14:paraId="402C20A9">
      <w:pPr>
        <w:pStyle w:val="4"/>
        <w:keepNext w:val="0"/>
        <w:keepLines w:val="0"/>
        <w:pageBreakBefore w:val="0"/>
        <w:kinsoku/>
        <w:wordWrap/>
        <w:overflowPunct/>
        <w:topLinePunct w:val="0"/>
        <w:autoSpaceDE/>
        <w:autoSpaceDN/>
        <w:bidi w:val="0"/>
        <w:spacing w:before="0" w:beforeAutospacing="0" w:after="0" w:afterAutospacing="0" w:line="600" w:lineRule="exact"/>
        <w:ind w:firstLine="643" w:firstLineChars="200"/>
        <w:textAlignment w:val="auto"/>
        <w:rPr>
          <w:rFonts w:ascii="方正小标宋_GBK" w:hAnsi="黑体" w:eastAsia="方正小标宋_GBK"/>
          <w:sz w:val="32"/>
          <w:szCs w:val="32"/>
        </w:rPr>
      </w:pPr>
    </w:p>
    <w:p w14:paraId="55AF8EDD">
      <w:pPr>
        <w:keepNext w:val="0"/>
        <w:keepLines w:val="0"/>
        <w:pageBreakBefore w:val="0"/>
        <w:kinsoku/>
        <w:wordWrap/>
        <w:overflowPunct/>
        <w:topLinePunct w:val="0"/>
        <w:autoSpaceDE/>
        <w:autoSpaceDN/>
        <w:bidi w:val="0"/>
        <w:spacing w:beforeAutospacing="0" w:afterAutospacing="0" w:line="600" w:lineRule="exact"/>
        <w:ind w:firstLine="420" w:firstLineChars="200"/>
        <w:textAlignment w:val="auto"/>
      </w:pPr>
    </w:p>
    <w:sectPr>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alibri Light">
    <w:altName w:val="Times New Roman"/>
    <w:panose1 w:val="020F0302020204030204"/>
    <w:charset w:val="00"/>
    <w:family w:val="swiss"/>
    <w:pitch w:val="default"/>
    <w:sig w:usb0="00000000" w:usb1="00000000" w:usb2="00000000" w:usb3="00000000" w:csb0="2000019F"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DB4BEF"/>
    <w:multiLevelType w:val="singleLevel"/>
    <w:tmpl w:val="9CDB4BEF"/>
    <w:lvl w:ilvl="0" w:tentative="0">
      <w:start w:val="2"/>
      <w:numFmt w:val="decimal"/>
      <w:suff w:val="nothing"/>
      <w:lvlText w:val="（%1）"/>
      <w:lvlJc w:val="left"/>
    </w:lvl>
  </w:abstractNum>
  <w:abstractNum w:abstractNumId="1">
    <w:nsid w:val="72711CCB"/>
    <w:multiLevelType w:val="singleLevel"/>
    <w:tmpl w:val="72711CC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3OGYzZDA0MzM0MmZmMWEyOGFlYzEzNThiYzk5M2QifQ=="/>
  </w:docVars>
  <w:rsids>
    <w:rsidRoot w:val="235F70F3"/>
    <w:rsid w:val="012A1031"/>
    <w:rsid w:val="018B280D"/>
    <w:rsid w:val="01CE4715"/>
    <w:rsid w:val="02881A3C"/>
    <w:rsid w:val="02E47F03"/>
    <w:rsid w:val="03564E08"/>
    <w:rsid w:val="0378063E"/>
    <w:rsid w:val="03AE6494"/>
    <w:rsid w:val="043B4698"/>
    <w:rsid w:val="04757341"/>
    <w:rsid w:val="050E4B54"/>
    <w:rsid w:val="060F5E53"/>
    <w:rsid w:val="06122F88"/>
    <w:rsid w:val="062D1AAF"/>
    <w:rsid w:val="06BF6E3C"/>
    <w:rsid w:val="07064092"/>
    <w:rsid w:val="078B20DF"/>
    <w:rsid w:val="07B25830"/>
    <w:rsid w:val="08C3308B"/>
    <w:rsid w:val="08EE77B6"/>
    <w:rsid w:val="09197F25"/>
    <w:rsid w:val="09902459"/>
    <w:rsid w:val="0A132AC8"/>
    <w:rsid w:val="0BA81DC8"/>
    <w:rsid w:val="0BAA5E29"/>
    <w:rsid w:val="0D392C54"/>
    <w:rsid w:val="0D9A164F"/>
    <w:rsid w:val="0DAE2303"/>
    <w:rsid w:val="0DF27149"/>
    <w:rsid w:val="0E152FAC"/>
    <w:rsid w:val="0E594D77"/>
    <w:rsid w:val="0EBE1E7E"/>
    <w:rsid w:val="0ED904BE"/>
    <w:rsid w:val="0F0B54A6"/>
    <w:rsid w:val="10185139"/>
    <w:rsid w:val="101A43FD"/>
    <w:rsid w:val="10612637"/>
    <w:rsid w:val="10B64D94"/>
    <w:rsid w:val="10D66437"/>
    <w:rsid w:val="10D80231"/>
    <w:rsid w:val="12397C5B"/>
    <w:rsid w:val="12B51D40"/>
    <w:rsid w:val="12DE3FFF"/>
    <w:rsid w:val="13021E3F"/>
    <w:rsid w:val="130654DA"/>
    <w:rsid w:val="136E072C"/>
    <w:rsid w:val="13C71955"/>
    <w:rsid w:val="13EF349A"/>
    <w:rsid w:val="14312BB1"/>
    <w:rsid w:val="14937CE4"/>
    <w:rsid w:val="14B53B71"/>
    <w:rsid w:val="14D964F6"/>
    <w:rsid w:val="154F7486"/>
    <w:rsid w:val="159E329B"/>
    <w:rsid w:val="16435794"/>
    <w:rsid w:val="167E612A"/>
    <w:rsid w:val="16FA74C1"/>
    <w:rsid w:val="17972D41"/>
    <w:rsid w:val="18304759"/>
    <w:rsid w:val="19D3216D"/>
    <w:rsid w:val="1A7A6A40"/>
    <w:rsid w:val="1A9F05BC"/>
    <w:rsid w:val="1AE661FF"/>
    <w:rsid w:val="1B550FE4"/>
    <w:rsid w:val="1BAA76E0"/>
    <w:rsid w:val="1BCA30B9"/>
    <w:rsid w:val="1DB55626"/>
    <w:rsid w:val="1E6E4A2F"/>
    <w:rsid w:val="1EE83C9F"/>
    <w:rsid w:val="1F68523C"/>
    <w:rsid w:val="1FCB27B8"/>
    <w:rsid w:val="1FD40CFC"/>
    <w:rsid w:val="201D63C9"/>
    <w:rsid w:val="20207D22"/>
    <w:rsid w:val="20E144FE"/>
    <w:rsid w:val="22F66168"/>
    <w:rsid w:val="234939F4"/>
    <w:rsid w:val="235F70F3"/>
    <w:rsid w:val="247508D3"/>
    <w:rsid w:val="25641764"/>
    <w:rsid w:val="26632AEE"/>
    <w:rsid w:val="266558ED"/>
    <w:rsid w:val="26C56B38"/>
    <w:rsid w:val="29013255"/>
    <w:rsid w:val="298D1B3F"/>
    <w:rsid w:val="2A5C7B2B"/>
    <w:rsid w:val="2B9D4766"/>
    <w:rsid w:val="2BE839B4"/>
    <w:rsid w:val="2C727379"/>
    <w:rsid w:val="2CCD678E"/>
    <w:rsid w:val="2CFD2B2B"/>
    <w:rsid w:val="2D067C4C"/>
    <w:rsid w:val="2D5C5ABE"/>
    <w:rsid w:val="2DC77C29"/>
    <w:rsid w:val="2DD42233"/>
    <w:rsid w:val="2E0B6A8A"/>
    <w:rsid w:val="2E290C48"/>
    <w:rsid w:val="2EA1198E"/>
    <w:rsid w:val="2EF3B2BE"/>
    <w:rsid w:val="2F6F45FC"/>
    <w:rsid w:val="2F75451C"/>
    <w:rsid w:val="2F8224FF"/>
    <w:rsid w:val="2FE82B00"/>
    <w:rsid w:val="300857B2"/>
    <w:rsid w:val="30E1593E"/>
    <w:rsid w:val="31025B09"/>
    <w:rsid w:val="31414A5E"/>
    <w:rsid w:val="319E4DF8"/>
    <w:rsid w:val="31B41A25"/>
    <w:rsid w:val="32F719A3"/>
    <w:rsid w:val="33C527AD"/>
    <w:rsid w:val="33FF6657"/>
    <w:rsid w:val="349B0F5D"/>
    <w:rsid w:val="34F34E1D"/>
    <w:rsid w:val="352073D1"/>
    <w:rsid w:val="356B252F"/>
    <w:rsid w:val="357D2930"/>
    <w:rsid w:val="36096403"/>
    <w:rsid w:val="36763951"/>
    <w:rsid w:val="3754218A"/>
    <w:rsid w:val="37AE40C2"/>
    <w:rsid w:val="38416397"/>
    <w:rsid w:val="386A2968"/>
    <w:rsid w:val="3AD54D63"/>
    <w:rsid w:val="3AD83395"/>
    <w:rsid w:val="3AE24BAA"/>
    <w:rsid w:val="3AF13B97"/>
    <w:rsid w:val="3B5612E6"/>
    <w:rsid w:val="3C543787"/>
    <w:rsid w:val="3CA66D5C"/>
    <w:rsid w:val="3D7B6428"/>
    <w:rsid w:val="3DED132A"/>
    <w:rsid w:val="3E605A42"/>
    <w:rsid w:val="3EC90660"/>
    <w:rsid w:val="3FBA457B"/>
    <w:rsid w:val="416E1D71"/>
    <w:rsid w:val="41CE1354"/>
    <w:rsid w:val="41DD0B24"/>
    <w:rsid w:val="42032ED0"/>
    <w:rsid w:val="42293D69"/>
    <w:rsid w:val="429C68ED"/>
    <w:rsid w:val="42B776F9"/>
    <w:rsid w:val="43A20770"/>
    <w:rsid w:val="44B50DCE"/>
    <w:rsid w:val="44CE6AF4"/>
    <w:rsid w:val="44D90072"/>
    <w:rsid w:val="45C5343B"/>
    <w:rsid w:val="45F72659"/>
    <w:rsid w:val="46602F82"/>
    <w:rsid w:val="46A74678"/>
    <w:rsid w:val="46EB3BA2"/>
    <w:rsid w:val="472305FF"/>
    <w:rsid w:val="47D551D0"/>
    <w:rsid w:val="484B7795"/>
    <w:rsid w:val="48BD0BFB"/>
    <w:rsid w:val="48F11FB7"/>
    <w:rsid w:val="4A896855"/>
    <w:rsid w:val="4ADE600B"/>
    <w:rsid w:val="4AFFABA8"/>
    <w:rsid w:val="4B7A0DFC"/>
    <w:rsid w:val="4BBD326C"/>
    <w:rsid w:val="4BE72F58"/>
    <w:rsid w:val="4DA04ECB"/>
    <w:rsid w:val="4DBC6717"/>
    <w:rsid w:val="4E3A0D0D"/>
    <w:rsid w:val="4E6702AB"/>
    <w:rsid w:val="4F2732DA"/>
    <w:rsid w:val="50570AA7"/>
    <w:rsid w:val="50E0793D"/>
    <w:rsid w:val="51315719"/>
    <w:rsid w:val="52BC67CA"/>
    <w:rsid w:val="53042FA3"/>
    <w:rsid w:val="53203F72"/>
    <w:rsid w:val="535D4273"/>
    <w:rsid w:val="53F76CA3"/>
    <w:rsid w:val="54186F41"/>
    <w:rsid w:val="557C1FAA"/>
    <w:rsid w:val="55924DCB"/>
    <w:rsid w:val="56254C95"/>
    <w:rsid w:val="56436319"/>
    <w:rsid w:val="56B747A1"/>
    <w:rsid w:val="574746C0"/>
    <w:rsid w:val="57D807E3"/>
    <w:rsid w:val="58041C55"/>
    <w:rsid w:val="58577206"/>
    <w:rsid w:val="585B2F03"/>
    <w:rsid w:val="59401951"/>
    <w:rsid w:val="5A791130"/>
    <w:rsid w:val="5AAE3027"/>
    <w:rsid w:val="5B145322"/>
    <w:rsid w:val="5B2F77F1"/>
    <w:rsid w:val="5B644081"/>
    <w:rsid w:val="5BA43DF3"/>
    <w:rsid w:val="5BD75953"/>
    <w:rsid w:val="5CA93512"/>
    <w:rsid w:val="5CD146D7"/>
    <w:rsid w:val="5D094830"/>
    <w:rsid w:val="5E16339F"/>
    <w:rsid w:val="5E714E68"/>
    <w:rsid w:val="5E992BED"/>
    <w:rsid w:val="5EF236E4"/>
    <w:rsid w:val="5F9D0543"/>
    <w:rsid w:val="5FA7072F"/>
    <w:rsid w:val="5FFF12F3"/>
    <w:rsid w:val="602509EE"/>
    <w:rsid w:val="603D68F1"/>
    <w:rsid w:val="60747F1B"/>
    <w:rsid w:val="61903D20"/>
    <w:rsid w:val="61DE2022"/>
    <w:rsid w:val="620E3DBB"/>
    <w:rsid w:val="62B467CF"/>
    <w:rsid w:val="637675BB"/>
    <w:rsid w:val="63A35DFC"/>
    <w:rsid w:val="63C44343"/>
    <w:rsid w:val="648418D5"/>
    <w:rsid w:val="64FD143E"/>
    <w:rsid w:val="65D11F36"/>
    <w:rsid w:val="661E2A6C"/>
    <w:rsid w:val="66716338"/>
    <w:rsid w:val="66E7082D"/>
    <w:rsid w:val="68BC4392"/>
    <w:rsid w:val="68C85F75"/>
    <w:rsid w:val="68DB1332"/>
    <w:rsid w:val="68EC23C5"/>
    <w:rsid w:val="691959FB"/>
    <w:rsid w:val="693130A1"/>
    <w:rsid w:val="697D3521"/>
    <w:rsid w:val="6A6A32E9"/>
    <w:rsid w:val="6B0E29B2"/>
    <w:rsid w:val="6B8D008F"/>
    <w:rsid w:val="6C022EBF"/>
    <w:rsid w:val="6C90E978"/>
    <w:rsid w:val="6CDB0B8A"/>
    <w:rsid w:val="6DEA65E3"/>
    <w:rsid w:val="6E2B2829"/>
    <w:rsid w:val="6E411F3E"/>
    <w:rsid w:val="6E9C6F8F"/>
    <w:rsid w:val="6E9FCD44"/>
    <w:rsid w:val="6ED46055"/>
    <w:rsid w:val="70A221ED"/>
    <w:rsid w:val="70E71420"/>
    <w:rsid w:val="711C4C29"/>
    <w:rsid w:val="718D7C2E"/>
    <w:rsid w:val="71D96859"/>
    <w:rsid w:val="71E47A7A"/>
    <w:rsid w:val="72B41AB4"/>
    <w:rsid w:val="735812E0"/>
    <w:rsid w:val="73663A61"/>
    <w:rsid w:val="73EF960E"/>
    <w:rsid w:val="74A900EC"/>
    <w:rsid w:val="750F3E1D"/>
    <w:rsid w:val="75450A73"/>
    <w:rsid w:val="76606C42"/>
    <w:rsid w:val="7665694D"/>
    <w:rsid w:val="768A3309"/>
    <w:rsid w:val="76B7796C"/>
    <w:rsid w:val="777D0EC9"/>
    <w:rsid w:val="77E67085"/>
    <w:rsid w:val="79335031"/>
    <w:rsid w:val="79DD4CC7"/>
    <w:rsid w:val="7ACF5207"/>
    <w:rsid w:val="7B1D7E5A"/>
    <w:rsid w:val="7B606EEA"/>
    <w:rsid w:val="7B6EE131"/>
    <w:rsid w:val="7B864C2E"/>
    <w:rsid w:val="7BA342E6"/>
    <w:rsid w:val="7C7F0087"/>
    <w:rsid w:val="7C7FBF8A"/>
    <w:rsid w:val="7C7FFA80"/>
    <w:rsid w:val="7CF94499"/>
    <w:rsid w:val="7D7F870C"/>
    <w:rsid w:val="7D822BDD"/>
    <w:rsid w:val="7DF3318D"/>
    <w:rsid w:val="7EFC0B65"/>
    <w:rsid w:val="7F7166CB"/>
    <w:rsid w:val="7FA65EE1"/>
    <w:rsid w:val="7FE93E1C"/>
    <w:rsid w:val="7FF301F6"/>
    <w:rsid w:val="7FFC37D1"/>
    <w:rsid w:val="B83DDDA1"/>
    <w:rsid w:val="BD9F66B2"/>
    <w:rsid w:val="CC6B22F9"/>
    <w:rsid w:val="CF5AE77C"/>
    <w:rsid w:val="DFBAC18F"/>
    <w:rsid w:val="DFF29294"/>
    <w:rsid w:val="E77F58DD"/>
    <w:rsid w:val="EBDFE3A6"/>
    <w:rsid w:val="EBFF737F"/>
    <w:rsid w:val="ECD21F4B"/>
    <w:rsid w:val="F35F1B5B"/>
    <w:rsid w:val="F8AFF9A8"/>
    <w:rsid w:val="FD3FAD0A"/>
    <w:rsid w:val="FD435D57"/>
    <w:rsid w:val="FE7F6893"/>
    <w:rsid w:val="FF9D57DC"/>
    <w:rsid w:val="FFCF65FC"/>
    <w:rsid w:val="FFD7E422"/>
    <w:rsid w:val="FFEFE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200" w:beforeLines="200" w:beforeAutospacing="0" w:after="100" w:afterLines="100" w:afterAutospacing="0" w:line="600" w:lineRule="exact"/>
      <w:jc w:val="center"/>
      <w:outlineLvl w:val="0"/>
    </w:pPr>
    <w:rPr>
      <w:rFonts w:ascii="Calibri" w:hAnsi="Calibri" w:eastAsia="方正小标宋简体" w:cs="Times New Roman"/>
      <w:kern w:val="44"/>
      <w:sz w:val="44"/>
    </w:rPr>
  </w:style>
  <w:style w:type="paragraph" w:styleId="4">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szCs w:val="18"/>
    </w:rPr>
  </w:style>
  <w:style w:type="paragraph" w:styleId="6">
    <w:name w:val="Body Text Indent"/>
    <w:basedOn w:val="1"/>
    <w:semiHidden/>
    <w:unhideWhenUsed/>
    <w:qFormat/>
    <w:uiPriority w:val="99"/>
    <w:pPr>
      <w:spacing w:after="120"/>
      <w:ind w:left="420" w:leftChars="200"/>
    </w:p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8">
    <w:name w:val="Title"/>
    <w:basedOn w:val="1"/>
    <w:next w:val="1"/>
    <w:autoRedefine/>
    <w:qFormat/>
    <w:uiPriority w:val="0"/>
    <w:pPr>
      <w:spacing w:before="240" w:after="60"/>
      <w:jc w:val="center"/>
      <w:outlineLvl w:val="0"/>
    </w:pPr>
    <w:rPr>
      <w:rFonts w:asciiTheme="majorHAnsi" w:hAnsiTheme="majorHAnsi" w:eastAsiaTheme="majorEastAsia" w:cstheme="majorBidi"/>
      <w:b/>
      <w:bCs/>
      <w:sz w:val="32"/>
      <w:szCs w:val="32"/>
    </w:rPr>
  </w:style>
  <w:style w:type="paragraph" w:styleId="9">
    <w:name w:val="Body Text First Indent 2"/>
    <w:basedOn w:val="6"/>
    <w:next w:val="1"/>
    <w:semiHidden/>
    <w:unhideWhenUsed/>
    <w:qFormat/>
    <w:uiPriority w:val="99"/>
    <w:pPr>
      <w:ind w:firstLine="420" w:firstLineChars="200"/>
    </w:pPr>
  </w:style>
  <w:style w:type="character" w:styleId="12">
    <w:name w:val="Strong"/>
    <w:basedOn w:val="11"/>
    <w:autoRedefine/>
    <w:qFormat/>
    <w:uiPriority w:val="0"/>
    <w:rPr>
      <w:b/>
      <w:bCs/>
    </w:rPr>
  </w:style>
  <w:style w:type="character" w:styleId="13">
    <w:name w:val="HTML Code"/>
    <w:basedOn w:val="11"/>
    <w:qFormat/>
    <w:uiPriority w:val="0"/>
    <w:rPr>
      <w:rFonts w:ascii="Courier New" w:hAnsi="Courier New"/>
      <w:sz w:val="20"/>
    </w:rPr>
  </w:style>
  <w:style w:type="paragraph" w:customStyle="1" w:styleId="1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6">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17">
    <w:name w:val="bjh-p"/>
    <w:basedOn w:val="11"/>
    <w:qFormat/>
    <w:uiPriority w:val="0"/>
  </w:style>
  <w:style w:type="paragraph" w:customStyle="1" w:styleId="18">
    <w:name w:val="标准文件_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三级条标题"/>
    <w:basedOn w:val="1"/>
    <w:next w:val="14"/>
    <w:autoRedefine/>
    <w:qFormat/>
    <w:uiPriority w:val="0"/>
    <w:pPr>
      <w:widowControl/>
      <w:adjustRightInd/>
      <w:spacing w:beforeLines="50" w:afterLines="50" w:line="240" w:lineRule="auto"/>
      <w:jc w:val="left"/>
      <w:outlineLvl w:val="4"/>
    </w:pPr>
    <w:rPr>
      <w:rFonts w:ascii="黑体" w:hAnsi="Times New Roman" w:eastAsia="黑体"/>
      <w:kern w:val="0"/>
    </w:rPr>
  </w:style>
  <w:style w:type="paragraph" w:styleId="20">
    <w:name w:val="No Spacing"/>
    <w:qFormat/>
    <w:uiPriority w:val="1"/>
    <w:pPr>
      <w:widowControl w:val="0"/>
      <w:spacing w:line="560" w:lineRule="exact"/>
      <w:ind w:firstLine="200" w:firstLineChars="200"/>
      <w:jc w:val="both"/>
    </w:pPr>
    <w:rPr>
      <w:rFonts w:ascii="Times New Roman" w:hAnsi="Times New Roman" w:eastAsia="宋体" w:cs="Times New Roman"/>
      <w:kern w:val="2"/>
      <w:sz w:val="21"/>
      <w:szCs w:val="24"/>
      <w:lang w:val="en-US" w:eastAsia="zh-CN" w:bidi="ar-SA"/>
    </w:rPr>
  </w:style>
  <w:style w:type="character" w:customStyle="1" w:styleId="21">
    <w:name w:val="font21"/>
    <w:basedOn w:val="1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7153</Words>
  <Characters>7680</Characters>
  <Lines>0</Lines>
  <Paragraphs>0</Paragraphs>
  <TotalTime>2</TotalTime>
  <ScaleCrop>false</ScaleCrop>
  <LinksUpToDate>false</LinksUpToDate>
  <CharactersWithSpaces>7732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2023-12-31T17:47:00Z</dcterms:created>
  <dc:creator>张建光</dc:creator>
  <cp:lastModifiedBy>走走——婷婷(๑• . •๑)享受生活</cp:lastModifiedBy>
  <cp:lastPrinted>2026-01-16T13:18:30Z</cp:lastPrinted>
  <dcterms:modified xsi:type="dcterms:W3CDTF">2026-01-16T13:18:31Z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31C545DFD0E449919A8E182A2B9B6B7E_13</vt:lpwstr>
  </property>
  <property fmtid="{D5CDD505-2E9C-101B-9397-08002B2CF9AE}" pid="4" name="KSOTemplateDocerSaveRecord">
    <vt:lpwstr>eyJoZGlkIjoiMzhiMzZlYWI0OGIwNjU4ZDFkNGFjN2IyYmRhM2ZiYWIiLCJ1c2VySWQiOiI1ODY5ODAxMTQifQ==</vt:lpwstr>
  </property>
</Properties>
</file>